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东莞农村商业银行统一支付平台及银联业务下移建设项目市场调研项目需求</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一、项目信息</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cs="仿宋_GB2312" w:asciiTheme="minorEastAsia" w:hAnsiTheme="minorEastAsia" w:eastAsiaTheme="minorEastAsia"/>
          <w:bCs/>
          <w:color w:val="auto"/>
          <w:szCs w:val="21"/>
          <w:highlight w:val="none"/>
        </w:rPr>
        <w:t>项目名称：</w:t>
      </w:r>
      <w:r>
        <w:rPr>
          <w:rFonts w:hint="eastAsia" w:cs="仿宋_GB2312" w:asciiTheme="minorEastAsia" w:hAnsiTheme="minorEastAsia" w:eastAsiaTheme="minorEastAsia"/>
          <w:bCs/>
          <w:color w:val="auto"/>
          <w:szCs w:val="21"/>
          <w:highlight w:val="none"/>
        </w:rPr>
        <w:t>东莞农村商业银行统一支付平台及银联业务下移建设项目</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采购人：东莞农村商业银行股份有限公司</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cs="仿宋_GB2312" w:asciiTheme="minorEastAsia" w:hAnsiTheme="minorEastAsia" w:eastAsiaTheme="minorEastAsia"/>
          <w:bCs/>
          <w:color w:val="auto"/>
          <w:szCs w:val="21"/>
          <w:highlight w:val="none"/>
        </w:rPr>
        <w:t>项目</w:t>
      </w:r>
      <w:r>
        <w:rPr>
          <w:rFonts w:hint="eastAsia" w:cs="仿宋_GB2312" w:asciiTheme="minorEastAsia" w:hAnsiTheme="minorEastAsia" w:eastAsiaTheme="minorEastAsia"/>
          <w:bCs/>
          <w:color w:val="auto"/>
          <w:szCs w:val="21"/>
          <w:highlight w:val="none"/>
        </w:rPr>
        <w:t>概算</w:t>
      </w:r>
      <w:r>
        <w:rPr>
          <w:rFonts w:cs="仿宋_GB2312" w:asciiTheme="minorEastAsia" w:hAnsiTheme="minorEastAsia" w:eastAsiaTheme="minorEastAsia"/>
          <w:bCs/>
          <w:color w:val="auto"/>
          <w:szCs w:val="21"/>
          <w:highlight w:val="none"/>
        </w:rPr>
        <w:t>：</w:t>
      </w:r>
      <w:r>
        <w:rPr>
          <w:rFonts w:hint="eastAsia" w:cs="仿宋_GB2312" w:asciiTheme="minorEastAsia" w:hAnsiTheme="minorEastAsia" w:eastAsiaTheme="minorEastAsia"/>
          <w:bCs/>
          <w:color w:val="auto"/>
          <w:szCs w:val="21"/>
          <w:highlight w:val="none"/>
        </w:rPr>
        <w:t>无</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项目预计采购时间：2023年11月</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项目工期要求：项目总工期10个月</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维保服务期：项目免费维护1年。</w:t>
      </w:r>
      <w:bookmarkStart w:id="1" w:name="_GoBack"/>
      <w:bookmarkEnd w:id="1"/>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注意：本次公告属于项目市场调研需求，上述预计采购时间和工期只是公告方根据自身计划所作估计，并不代表后续任何实质性承诺；另外，本次项目需求调研，属于公告方对外寻找相关符合要求的供应商进行交流的意向，并不代表公告方对报名供应商的任何承诺，后续公告方将根据自身计划进行项目采购。报名供应商或后续参与交流的供应商并不代表已获得公告方的认可或获得任何参与后续项目投标、合同方面的承诺。本次项目调研公告方将根据报名供应商提交的资料情况，择优选择供应商进行现场或线上交流。</w:t>
      </w:r>
    </w:p>
    <w:p>
      <w:pPr>
        <w:spacing w:line="360" w:lineRule="auto"/>
        <w:rPr>
          <w:rFonts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w:t>
      </w:r>
      <w:r>
        <w:rPr>
          <w:rFonts w:hint="eastAsia" w:ascii="宋体" w:hAnsi="宋体"/>
          <w:b/>
          <w:color w:val="auto"/>
          <w:szCs w:val="21"/>
          <w:highlight w:val="none"/>
        </w:rPr>
        <w:t>项目背景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为了进一步推动公告方新一代核心系统项目群工作，现开展</w:t>
      </w:r>
      <w:r>
        <w:rPr>
          <w:rFonts w:hint="eastAsia" w:cs="仿宋_GB2312" w:asciiTheme="minorEastAsia" w:hAnsiTheme="minorEastAsia" w:eastAsiaTheme="minorEastAsia"/>
          <w:bCs/>
          <w:color w:val="auto"/>
          <w:szCs w:val="21"/>
          <w:highlight w:val="none"/>
        </w:rPr>
        <w:t>统一支付平台及银联业务下移项目建设</w:t>
      </w:r>
      <w:r>
        <w:rPr>
          <w:rFonts w:hint="eastAsia" w:ascii="宋体" w:hAnsi="宋体" w:cs="宋体"/>
          <w:color w:val="auto"/>
          <w:szCs w:val="21"/>
          <w:highlight w:val="none"/>
        </w:rPr>
        <w:t>，</w:t>
      </w:r>
      <w:r>
        <w:rPr>
          <w:rFonts w:hint="eastAsia" w:ascii="宋体" w:hAnsi="宋体"/>
          <w:color w:val="auto"/>
          <w:szCs w:val="21"/>
          <w:highlight w:val="none"/>
        </w:rPr>
        <w:t>欢迎愿意参加本项目市场调研的潜在</w:t>
      </w:r>
      <w:r>
        <w:rPr>
          <w:rFonts w:hint="eastAsia" w:ascii="宋体" w:hAnsi="宋体"/>
          <w:color w:val="auto"/>
          <w:szCs w:val="21"/>
          <w:highlight w:val="none"/>
        </w:rPr>
        <w:t>原厂</w:t>
      </w:r>
      <w:r>
        <w:rPr>
          <w:rFonts w:hint="eastAsia" w:ascii="宋体" w:hAnsi="宋体"/>
          <w:color w:val="auto"/>
          <w:szCs w:val="21"/>
          <w:highlight w:val="none"/>
        </w:rPr>
        <w:t>供应商</w:t>
      </w:r>
      <w:r>
        <w:rPr>
          <w:rFonts w:hint="eastAsia" w:ascii="宋体" w:hAnsi="宋体"/>
          <w:color w:val="auto"/>
          <w:szCs w:val="21"/>
          <w:highlight w:val="none"/>
        </w:rPr>
        <w:t>（本次项目需求的供应商指同时具备统一支付平台及银联业务下移项目相关业务系统开发能力的公司）</w:t>
      </w:r>
      <w:r>
        <w:rPr>
          <w:rFonts w:hint="eastAsia" w:ascii="宋体" w:hAnsi="宋体"/>
          <w:color w:val="auto"/>
          <w:szCs w:val="21"/>
          <w:highlight w:val="none"/>
        </w:rPr>
        <w:t>，提供市场调研资料。</w:t>
      </w:r>
    </w:p>
    <w:p>
      <w:pPr>
        <w:spacing w:line="360" w:lineRule="auto"/>
        <w:rPr>
          <w:rFonts w:ascii="宋体" w:hAnsi="宋体"/>
          <w:b/>
          <w:bCs/>
          <w:color w:val="auto"/>
          <w:szCs w:val="21"/>
          <w:highlight w:val="none"/>
        </w:rPr>
      </w:pPr>
      <w:r>
        <w:rPr>
          <w:rFonts w:hint="eastAsia" w:ascii="宋体" w:hAnsi="宋体"/>
          <w:b/>
          <w:color w:val="auto"/>
          <w:szCs w:val="21"/>
          <w:highlight w:val="none"/>
        </w:rPr>
        <w:t>三</w:t>
      </w:r>
      <w:r>
        <w:rPr>
          <w:rFonts w:ascii="宋体" w:hAnsi="宋体"/>
          <w:b/>
          <w:color w:val="auto"/>
          <w:szCs w:val="21"/>
          <w:highlight w:val="none"/>
        </w:rPr>
        <w:t>、</w:t>
      </w:r>
      <w:r>
        <w:rPr>
          <w:rFonts w:hint="eastAsia" w:ascii="宋体" w:hAnsi="宋体"/>
          <w:b/>
          <w:bCs/>
          <w:color w:val="auto"/>
          <w:szCs w:val="21"/>
          <w:highlight w:val="none"/>
        </w:rPr>
        <w:t>调研内容</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（一）项目需求</w:t>
      </w:r>
    </w:p>
    <w:tbl>
      <w:tblPr>
        <w:tblStyle w:val="12"/>
        <w:tblW w:w="46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129"/>
        <w:gridCol w:w="1129"/>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
                <w:bCs/>
                <w:color w:val="auto"/>
                <w:szCs w:val="21"/>
                <w:highlight w:val="none"/>
              </w:rPr>
            </w:pPr>
            <w:bookmarkStart w:id="0" w:name="OLE_LINK1"/>
            <w:r>
              <w:rPr>
                <w:rFonts w:hint="eastAsia" w:cs="仿宋_GB2312" w:asciiTheme="minorEastAsia" w:hAnsiTheme="minorEastAsia" w:eastAsiaTheme="minorEastAsia"/>
                <w:b/>
                <w:bCs/>
                <w:color w:val="auto"/>
                <w:szCs w:val="21"/>
                <w:highlight w:val="none"/>
              </w:rPr>
              <w:t>序号</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需求类别</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子项</w:t>
            </w:r>
          </w:p>
        </w:tc>
        <w:tc>
          <w:tcPr>
            <w:tcW w:w="35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产品型号（配置）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restart"/>
            <w:tcBorders>
              <w:top w:val="single" w:color="auto" w:sz="4" w:space="0"/>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610" w:type="pct"/>
            <w:vMerge w:val="restart"/>
            <w:tcBorders>
              <w:top w:val="single" w:color="auto" w:sz="4" w:space="0"/>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业务需求(银联前置）</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银联CUPS传统业务</w:t>
            </w:r>
          </w:p>
        </w:tc>
        <w:tc>
          <w:tcPr>
            <w:tcW w:w="3535"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支持银联CUPS的发卡方和受理方所有业务，包括增值信息通知业务、ATM查询取现业务、CDM存款业务、现场消费业务、有卡自助消费业务、农民工业务、助农业务、同名-助农转账业务、柜面业务、委托业务、小额免密业务、分期付款、闪付ODA业务、转账业务-同名比对、转账业务-不支持同名比对、大额分期付款业务、订购业务、代收业务、无卡自助消费、二维码支付业务、贷记业务、非银标账户入账业务、2019A账户验证、2019A银行开户验证、云闪付APP交易业务、手机PAY支付业务、贷记业务、对公账户验证、代收业务、账户开立发卡方、账户开立受理方、ATM查询取现业务受理方、现场消费业务受理方、有卡自助消费业务受理方、小额免密业务受理方、ATM转账业务受理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rFonts w:hint="eastAsia"/>
                <w:color w:val="auto"/>
                <w:highlight w:val="none"/>
              </w:rPr>
              <w:t>银联TSM业务</w:t>
            </w:r>
          </w:p>
        </w:tc>
        <w:tc>
          <w:tcPr>
            <w:tcW w:w="3535" w:type="pct"/>
            <w:tcBorders>
              <w:top w:val="single" w:color="auto" w:sz="4" w:space="0"/>
              <w:left w:val="single" w:color="auto" w:sz="4" w:space="0"/>
              <w:bottom w:val="single" w:color="auto" w:sz="4" w:space="0"/>
              <w:right w:val="single" w:color="auto" w:sz="4" w:space="0"/>
            </w:tcBorders>
          </w:tcPr>
          <w:p>
            <w:pPr>
              <w:pStyle w:val="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具备发卡侧模块和受理侧模块，支持所有手机PAY，包括映射关系状态通知、触发动态验证、验证动态信息、设备卡映射关系状态变更通知、操作执行结果通知、黑名单报送、设备卡申请异常通知、移动设备卡申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银联二维码业务</w:t>
            </w:r>
          </w:p>
        </w:tc>
        <w:tc>
          <w:tcPr>
            <w:tcW w:w="3535" w:type="pct"/>
            <w:tcBorders>
              <w:top w:val="single" w:color="auto" w:sz="4" w:space="0"/>
              <w:left w:val="single" w:color="auto" w:sz="4" w:space="0"/>
              <w:bottom w:val="single" w:color="auto" w:sz="4" w:space="0"/>
              <w:right w:val="single" w:color="auto" w:sz="4" w:space="0"/>
            </w:tcBorders>
          </w:tcPr>
          <w:p>
            <w:pPr>
              <w:spacing w:line="360" w:lineRule="auto"/>
              <w:jc w:val="left"/>
              <w:rPr>
                <w:color w:val="auto"/>
                <w:highlight w:val="none"/>
              </w:rPr>
            </w:pPr>
            <w:r>
              <w:rPr>
                <w:rFonts w:hint="eastAsia"/>
                <w:color w:val="auto"/>
                <w:highlight w:val="none"/>
              </w:rPr>
              <w:t>支持付款侧主被扫前置业务和收款侧主被扫业务</w:t>
            </w:r>
            <w:r>
              <w:rPr>
                <w:rFonts w:hint="eastAsia" w:ascii="宋体" w:hAnsi="宋体" w:cs="宋体"/>
                <w:color w:val="auto"/>
                <w:szCs w:val="21"/>
                <w:highlight w:val="none"/>
              </w:rPr>
              <w:t>等</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银联云闪付业务</w:t>
            </w:r>
          </w:p>
        </w:tc>
        <w:tc>
          <w:tcPr>
            <w:tcW w:w="3535" w:type="pct"/>
            <w:tcBorders>
              <w:top w:val="single" w:color="auto" w:sz="4" w:space="0"/>
              <w:left w:val="single" w:color="auto" w:sz="4" w:space="0"/>
              <w:bottom w:val="single" w:color="auto" w:sz="4" w:space="0"/>
              <w:right w:val="single" w:color="auto" w:sz="4" w:space="0"/>
            </w:tcBorders>
          </w:tcPr>
          <w:p>
            <w:pPr>
              <w:spacing w:line="360" w:lineRule="auto"/>
              <w:jc w:val="left"/>
              <w:rPr>
                <w:color w:val="auto"/>
                <w:highlight w:val="none"/>
              </w:rPr>
            </w:pPr>
            <w:r>
              <w:rPr>
                <w:rFonts w:hint="eastAsia"/>
                <w:color w:val="auto"/>
                <w:highlight w:val="none"/>
              </w:rPr>
              <w:t>支持银联云闪付刷脸支付业务、云闪付一键绑卡、云闪付信用卡还款和分期业务等。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rFonts w:hint="eastAsia"/>
                <w:color w:val="auto"/>
                <w:highlight w:val="none"/>
              </w:rPr>
              <w:t>授权风控</w:t>
            </w:r>
          </w:p>
        </w:tc>
        <w:tc>
          <w:tcPr>
            <w:tcW w:w="3535" w:type="pct"/>
            <w:tcBorders>
              <w:top w:val="single" w:color="auto" w:sz="4" w:space="0"/>
              <w:left w:val="single" w:color="auto" w:sz="4" w:space="0"/>
              <w:bottom w:val="single" w:color="auto" w:sz="4" w:space="0"/>
              <w:right w:val="single" w:color="auto" w:sz="4" w:space="0"/>
            </w:tcBorders>
          </w:tcPr>
          <w:p>
            <w:pPr>
              <w:pStyle w:val="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具备灵活的交易授权功能及相关的参数配置能力，能够具备满足当前监管机构要求的银行卡业务风险控制管理的能力。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限额协议</w:t>
            </w:r>
          </w:p>
        </w:tc>
        <w:tc>
          <w:tcPr>
            <w:tcW w:w="3535" w:type="pct"/>
            <w:tcBorders>
              <w:top w:val="single" w:color="auto" w:sz="4" w:space="0"/>
              <w:left w:val="single" w:color="auto" w:sz="4" w:space="0"/>
              <w:bottom w:val="single" w:color="auto" w:sz="4" w:space="0"/>
              <w:right w:val="single" w:color="auto" w:sz="4" w:space="0"/>
            </w:tcBorders>
          </w:tcPr>
          <w:p>
            <w:pPr>
              <w:pStyle w:val="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支持银行卡在银联业务上的所有协议限额整合管理，包括跨行转账汇款协议、境外交易安全协议、无卡支付协议、银联代收协议、小额免密支付协议、云闪付APP绑定协议、小额临时支付协议、ATM交易风控限额、POS交易风控限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rFonts w:hint="eastAsia"/>
                <w:color w:val="auto"/>
                <w:highlight w:val="none"/>
              </w:rPr>
              <w:t>手续费计算</w:t>
            </w:r>
          </w:p>
        </w:tc>
        <w:tc>
          <w:tcPr>
            <w:tcW w:w="3535" w:type="pct"/>
            <w:tcBorders>
              <w:top w:val="single" w:color="auto" w:sz="4" w:space="0"/>
              <w:left w:val="single" w:color="auto" w:sz="4" w:space="0"/>
              <w:bottom w:val="single" w:color="auto" w:sz="4" w:space="0"/>
              <w:right w:val="single" w:color="auto" w:sz="4" w:space="0"/>
            </w:tcBorders>
          </w:tcPr>
          <w:p>
            <w:pPr>
              <w:pStyle w:val="3"/>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对于银联的跨行业务收取手续费，可以支持灵活配置行内</w:t>
            </w:r>
            <w:r>
              <w:rPr>
                <w:rFonts w:hint="eastAsia"/>
                <w:color w:val="auto"/>
                <w:highlight w:val="none"/>
              </w:rPr>
              <w:t>手续费计算收取规则等。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清算运营管理</w:t>
            </w:r>
          </w:p>
        </w:tc>
        <w:tc>
          <w:tcPr>
            <w:tcW w:w="3535" w:type="pct"/>
            <w:tcBorders>
              <w:top w:val="single" w:color="auto" w:sz="4" w:space="0"/>
              <w:left w:val="single" w:color="auto" w:sz="4" w:space="0"/>
              <w:bottom w:val="single" w:color="auto" w:sz="4" w:space="0"/>
              <w:right w:val="single" w:color="auto" w:sz="4" w:space="0"/>
            </w:tcBorders>
          </w:tcPr>
          <w:p>
            <w:pPr>
              <w:pStyle w:val="3"/>
              <w:numPr>
                <w:ilvl w:val="255"/>
                <w:numId w:val="0"/>
              </w:numPr>
              <w:spacing w:line="360" w:lineRule="auto"/>
              <w:rPr>
                <w:rFonts w:ascii="宋体" w:hAnsi="宋体" w:cs="宋体"/>
                <w:color w:val="auto"/>
                <w:szCs w:val="21"/>
                <w:highlight w:val="none"/>
              </w:rPr>
            </w:pPr>
            <w:r>
              <w:rPr>
                <w:rFonts w:hint="eastAsia" w:ascii="宋体" w:hAnsi="宋体" w:cs="宋体"/>
                <w:color w:val="auto"/>
                <w:szCs w:val="21"/>
                <w:highlight w:val="none"/>
              </w:rPr>
              <w:t>提供能够支持银行卡清算对账、差错调整处理、银联总分核对清算汇总、银联收付费处理、行内内部账分析监控、实时查询交易等运营管理功能等。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restart"/>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业务需求（统一支付平台）</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法人间转账</w:t>
            </w:r>
          </w:p>
        </w:tc>
        <w:tc>
          <w:tcPr>
            <w:tcW w:w="3535" w:type="pct"/>
            <w:tcBorders>
              <w:top w:val="single" w:color="auto" w:sz="4" w:space="0"/>
              <w:left w:val="single" w:color="auto" w:sz="4" w:space="0"/>
              <w:bottom w:val="single" w:color="auto" w:sz="4" w:space="0"/>
              <w:right w:val="single" w:color="auto" w:sz="4" w:space="0"/>
            </w:tcBorders>
          </w:tcPr>
          <w:p>
            <w:pPr>
              <w:pStyle w:val="3"/>
              <w:numPr>
                <w:ilvl w:val="255"/>
                <w:numId w:val="0"/>
              </w:numPr>
              <w:spacing w:line="360" w:lineRule="auto"/>
              <w:rPr>
                <w:rFonts w:ascii="宋体" w:hAnsi="宋体" w:cs="宋体"/>
                <w:color w:val="auto"/>
                <w:szCs w:val="21"/>
                <w:highlight w:val="none"/>
              </w:rPr>
            </w:pPr>
            <w:r>
              <w:rPr>
                <w:rFonts w:hint="eastAsia" w:ascii="宋体" w:hAnsi="宋体" w:cs="宋体"/>
                <w:color w:val="auto"/>
                <w:szCs w:val="21"/>
                <w:highlight w:val="none"/>
              </w:rPr>
              <w:t>支持不同法人之间的转账清算业务，包含农商行与村镇行、村镇行与村镇行等不同法人机构间转账模式的结算功能、头寸管理功能。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智能路由</w:t>
            </w:r>
          </w:p>
        </w:tc>
        <w:tc>
          <w:tcPr>
            <w:tcW w:w="3535" w:type="pct"/>
            <w:tcBorders>
              <w:top w:val="single" w:color="auto" w:sz="4" w:space="0"/>
              <w:left w:val="single" w:color="auto" w:sz="4" w:space="0"/>
              <w:bottom w:val="single" w:color="auto" w:sz="4" w:space="0"/>
              <w:right w:val="single" w:color="auto" w:sz="4" w:space="0"/>
            </w:tcBorders>
          </w:tcPr>
          <w:p>
            <w:pPr>
              <w:pStyle w:val="3"/>
              <w:numPr>
                <w:ilvl w:val="255"/>
                <w:numId w:val="0"/>
              </w:numPr>
              <w:spacing w:line="360" w:lineRule="auto"/>
              <w:rPr>
                <w:rFonts w:ascii="宋体" w:hAnsi="宋体" w:cs="宋体"/>
                <w:color w:val="auto"/>
                <w:szCs w:val="21"/>
                <w:highlight w:val="none"/>
              </w:rPr>
            </w:pPr>
            <w:r>
              <w:rPr>
                <w:rFonts w:hint="eastAsia" w:ascii="宋体" w:hAnsi="宋体" w:cs="宋体"/>
                <w:color w:val="auto"/>
                <w:szCs w:val="21"/>
                <w:highlight w:val="none"/>
              </w:rPr>
              <w:t>提供跨行支付、转账、代收付服务接口，通过配置规则或设立模型选择支付渠道完成业务。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平台基础公共功能</w:t>
            </w:r>
          </w:p>
        </w:tc>
        <w:tc>
          <w:tcPr>
            <w:tcW w:w="3535" w:type="pct"/>
            <w:tcBorders>
              <w:top w:val="single" w:color="auto" w:sz="4" w:space="0"/>
              <w:left w:val="single" w:color="auto" w:sz="4" w:space="0"/>
              <w:bottom w:val="single" w:color="auto" w:sz="4" w:space="0"/>
              <w:right w:val="single" w:color="auto" w:sz="4" w:space="0"/>
            </w:tcBorders>
          </w:tcPr>
          <w:p>
            <w:pPr>
              <w:pStyle w:val="3"/>
              <w:numPr>
                <w:ilvl w:val="255"/>
                <w:numId w:val="0"/>
              </w:numPr>
              <w:spacing w:line="360" w:lineRule="auto"/>
              <w:rPr>
                <w:rFonts w:ascii="宋体" w:hAnsi="宋体" w:cs="宋体"/>
                <w:color w:val="auto"/>
                <w:szCs w:val="21"/>
                <w:highlight w:val="none"/>
              </w:rPr>
            </w:pPr>
            <w:r>
              <w:rPr>
                <w:rFonts w:hint="eastAsia" w:ascii="宋体" w:hAnsi="宋体" w:cs="宋体"/>
                <w:color w:val="auto"/>
                <w:szCs w:val="21"/>
                <w:highlight w:val="none"/>
              </w:rPr>
              <w:t>提供不同支付系统的统一对账、统一清算、统一差错处理、准入控制、参数配置等。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restart"/>
            <w:tcBorders>
              <w:top w:val="single" w:color="auto" w:sz="4" w:space="0"/>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610" w:type="pct"/>
            <w:vMerge w:val="restart"/>
            <w:tcBorders>
              <w:top w:val="single" w:color="auto" w:sz="4" w:space="0"/>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技术需求</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基本需求</w:t>
            </w:r>
          </w:p>
        </w:tc>
        <w:tc>
          <w:tcPr>
            <w:tcW w:w="3535" w:type="pct"/>
            <w:tcBorders>
              <w:top w:val="single" w:color="auto" w:sz="4" w:space="0"/>
              <w:left w:val="single" w:color="auto" w:sz="4" w:space="0"/>
              <w:bottom w:val="single" w:color="auto" w:sz="4" w:space="0"/>
              <w:right w:val="single" w:color="auto" w:sz="4" w:space="0"/>
            </w:tcBorders>
          </w:tcPr>
          <w:p>
            <w:pPr>
              <w:pStyle w:val="3"/>
              <w:numPr>
                <w:ilvl w:val="0"/>
                <w:numId w:val="1"/>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采用微服务集群架构进行系统建设，能够覆盖集群所需的日志、监控、缓存、配置、注册等功能需求，支持权限、流量管控，支持资源动态扩容。</w:t>
            </w:r>
          </w:p>
          <w:p>
            <w:pPr>
              <w:pStyle w:val="3"/>
              <w:numPr>
                <w:ilvl w:val="0"/>
                <w:numId w:val="1"/>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支持多活、多中心等高可用部署架构方案。</w:t>
            </w:r>
          </w:p>
          <w:p>
            <w:pPr>
              <w:pStyle w:val="3"/>
              <w:numPr>
                <w:ilvl w:val="0"/>
                <w:numId w:val="1"/>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支持完整的CI/CD机制，支持多维度的业务和技术监控。</w:t>
            </w:r>
          </w:p>
          <w:p>
            <w:pPr>
              <w:pStyle w:val="3"/>
              <w:numPr>
                <w:ilvl w:val="0"/>
                <w:numId w:val="1"/>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提供高效、便捷的二次开发平台环境、底层组件以及开发流程。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运行需求</w:t>
            </w:r>
          </w:p>
        </w:tc>
        <w:tc>
          <w:tcPr>
            <w:tcW w:w="3535" w:type="pct"/>
            <w:tcBorders>
              <w:top w:val="single" w:color="auto" w:sz="4" w:space="0"/>
              <w:left w:val="single" w:color="auto" w:sz="4" w:space="0"/>
              <w:bottom w:val="single" w:color="auto" w:sz="4" w:space="0"/>
              <w:right w:val="single" w:color="auto" w:sz="4" w:space="0"/>
            </w:tcBorders>
          </w:tcPr>
          <w:p>
            <w:pPr>
              <w:pStyle w:val="3"/>
              <w:numPr>
                <w:ilvl w:val="0"/>
                <w:numId w:val="2"/>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服务端必须兼容ARM、X86等主流芯片，兼容统信、麒麟、LINUX等主流操作系统。</w:t>
            </w:r>
          </w:p>
          <w:p>
            <w:pPr>
              <w:pStyle w:val="3"/>
              <w:numPr>
                <w:ilvl w:val="0"/>
                <w:numId w:val="2"/>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数据库必须兼容TDSQL、MYSQL、OceanDB、GoldenDB等主流数据库。</w:t>
            </w:r>
          </w:p>
          <w:p>
            <w:pPr>
              <w:pStyle w:val="3"/>
              <w:numPr>
                <w:ilvl w:val="0"/>
                <w:numId w:val="2"/>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中间件（含负载、缓存及消息等）必须兼容宝兰德、东方通、腾讯云、TOMCAT等主流厂商。。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olor w:val="auto"/>
                <w:highlight w:val="none"/>
              </w:rPr>
              <w:t>性能需求</w:t>
            </w:r>
          </w:p>
        </w:tc>
        <w:tc>
          <w:tcPr>
            <w:tcW w:w="3535" w:type="pct"/>
            <w:tcBorders>
              <w:top w:val="single" w:color="auto" w:sz="4" w:space="0"/>
              <w:left w:val="single" w:color="auto" w:sz="4" w:space="0"/>
              <w:bottom w:val="single" w:color="auto" w:sz="4" w:space="0"/>
              <w:right w:val="single" w:color="auto" w:sz="4" w:space="0"/>
            </w:tcBorders>
            <w:vAlign w:val="center"/>
          </w:tcPr>
          <w:p>
            <w:pPr>
              <w:pStyle w:val="3"/>
              <w:numPr>
                <w:ilvl w:val="0"/>
                <w:numId w:val="3"/>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日服务能力：1000万笔交易以上。</w:t>
            </w:r>
          </w:p>
          <w:p>
            <w:pPr>
              <w:pStyle w:val="3"/>
              <w:numPr>
                <w:ilvl w:val="0"/>
                <w:numId w:val="3"/>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支持500以上交易处理吞吐量（TPS）。</w:t>
            </w:r>
          </w:p>
          <w:p>
            <w:pPr>
              <w:pStyle w:val="3"/>
              <w:numPr>
                <w:ilvl w:val="0"/>
                <w:numId w:val="3"/>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批处理效率：小于60分钟。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rFonts w:hint="eastAsia"/>
                <w:color w:val="auto"/>
                <w:highlight w:val="none"/>
              </w:rPr>
              <w:t>安全需求</w:t>
            </w:r>
          </w:p>
        </w:tc>
        <w:tc>
          <w:tcPr>
            <w:tcW w:w="3535" w:type="pct"/>
            <w:tcBorders>
              <w:top w:val="single" w:color="auto" w:sz="4" w:space="0"/>
              <w:left w:val="single" w:color="auto" w:sz="4" w:space="0"/>
              <w:bottom w:val="single" w:color="auto" w:sz="4" w:space="0"/>
              <w:right w:val="single" w:color="auto" w:sz="4" w:space="0"/>
            </w:tcBorders>
            <w:vAlign w:val="center"/>
          </w:tcPr>
          <w:p>
            <w:pPr>
              <w:pStyle w:val="3"/>
              <w:numPr>
                <w:ilvl w:val="0"/>
                <w:numId w:val="4"/>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系统应具有较高的可靠性和稳定性，满足7×24小时连续不间断运行需要。</w:t>
            </w:r>
          </w:p>
          <w:p>
            <w:pPr>
              <w:pStyle w:val="3"/>
              <w:numPr>
                <w:ilvl w:val="0"/>
                <w:numId w:val="4"/>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具有多级安全保密、权限管控机制，确保数据准确、安全。</w:t>
            </w:r>
          </w:p>
          <w:p>
            <w:pPr>
              <w:pStyle w:val="3"/>
              <w:numPr>
                <w:ilvl w:val="0"/>
                <w:numId w:val="4"/>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系统提供高效可靠的数据备份方法及快速完整的数据恢复功能，对操作员的各种操作情况进行监控和记录，保留完整的日志。</w:t>
            </w:r>
          </w:p>
          <w:p>
            <w:pPr>
              <w:pStyle w:val="3"/>
              <w:numPr>
                <w:ilvl w:val="0"/>
                <w:numId w:val="4"/>
              </w:numPr>
              <w:spacing w:line="360" w:lineRule="auto"/>
              <w:ind w:left="360" w:hanging="360" w:firstLineChars="0"/>
              <w:rPr>
                <w:color w:val="auto"/>
                <w:highlight w:val="none"/>
              </w:rPr>
            </w:pPr>
            <w:r>
              <w:rPr>
                <w:rFonts w:hint="eastAsia" w:ascii="宋体" w:hAnsi="宋体" w:cs="宋体"/>
                <w:color w:val="auto"/>
                <w:szCs w:val="21"/>
                <w:highlight w:val="none"/>
              </w:rPr>
              <w:t>系统在设计上充分考虑到各种紧急情况，有完善的应急处理措施。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vMerge w:val="continue"/>
            <w:tcBorders>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eastAsiaTheme="minorEastAsia"/>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rFonts w:hint="eastAsia"/>
                <w:color w:val="auto"/>
                <w:highlight w:val="none"/>
              </w:rPr>
              <w:t>其他需求</w:t>
            </w:r>
          </w:p>
        </w:tc>
        <w:tc>
          <w:tcPr>
            <w:tcW w:w="3535" w:type="pct"/>
            <w:tcBorders>
              <w:top w:val="single" w:color="auto" w:sz="4" w:space="0"/>
              <w:left w:val="single" w:color="auto" w:sz="4" w:space="0"/>
              <w:bottom w:val="single" w:color="auto" w:sz="4" w:space="0"/>
              <w:right w:val="single" w:color="auto" w:sz="4" w:space="0"/>
            </w:tcBorders>
            <w:vAlign w:val="center"/>
          </w:tcPr>
          <w:p>
            <w:pPr>
              <w:pStyle w:val="3"/>
              <w:numPr>
                <w:ilvl w:val="0"/>
                <w:numId w:val="5"/>
              </w:numPr>
              <w:spacing w:line="360" w:lineRule="auto"/>
              <w:ind w:left="360" w:hanging="360" w:firstLineChars="0"/>
              <w:rPr>
                <w:rFonts w:ascii="宋体" w:hAnsi="宋体" w:cs="宋体"/>
                <w:color w:val="auto"/>
                <w:szCs w:val="21"/>
                <w:highlight w:val="none"/>
              </w:rPr>
            </w:pPr>
            <w:r>
              <w:rPr>
                <w:rFonts w:hint="eastAsia" w:ascii="宋体" w:hAnsi="宋体" w:cs="宋体"/>
                <w:color w:val="auto"/>
                <w:szCs w:val="21"/>
                <w:highlight w:val="none"/>
              </w:rPr>
              <w:t>系统支持多法人及总-分-支架构。</w:t>
            </w:r>
          </w:p>
          <w:p>
            <w:pPr>
              <w:pStyle w:val="3"/>
              <w:numPr>
                <w:ilvl w:val="0"/>
                <w:numId w:val="5"/>
              </w:numPr>
              <w:spacing w:line="360" w:lineRule="auto"/>
              <w:ind w:left="360" w:hanging="360" w:firstLineChars="0"/>
              <w:rPr>
                <w:color w:val="auto"/>
                <w:highlight w:val="none"/>
              </w:rPr>
            </w:pPr>
            <w:r>
              <w:rPr>
                <w:rFonts w:hint="eastAsia" w:ascii="宋体" w:hAnsi="宋体" w:cs="宋体"/>
                <w:color w:val="auto"/>
                <w:szCs w:val="21"/>
                <w:highlight w:val="none"/>
              </w:rPr>
              <w:t>支持多种数据加密、验签等安全技术功能，涉及敏感信息的传输与存储必须加密。</w:t>
            </w:r>
          </w:p>
          <w:p>
            <w:pPr>
              <w:pStyle w:val="3"/>
              <w:numPr>
                <w:ilvl w:val="0"/>
                <w:numId w:val="5"/>
              </w:numPr>
              <w:spacing w:line="360" w:lineRule="auto"/>
              <w:ind w:left="360" w:hanging="360" w:firstLineChars="0"/>
              <w:rPr>
                <w:color w:val="auto"/>
                <w:highlight w:val="none"/>
              </w:rPr>
            </w:pPr>
            <w:r>
              <w:rPr>
                <w:rFonts w:hint="eastAsia" w:ascii="宋体" w:hAnsi="宋体" w:cs="宋体"/>
                <w:color w:val="auto"/>
                <w:szCs w:val="21"/>
                <w:highlight w:val="none"/>
              </w:rPr>
              <w:t>支持中国银联银行卡交换系统技术规范的定期更新要求。</w:t>
            </w:r>
          </w:p>
        </w:tc>
      </w:tr>
      <w:bookmarkEnd w:id="0"/>
    </w:tbl>
    <w:p>
      <w:pPr>
        <w:pStyle w:val="6"/>
        <w:spacing w:after="0" w:line="360" w:lineRule="auto"/>
        <w:rPr>
          <w:rFonts w:cs="宋体" w:asciiTheme="minorEastAsia" w:hAnsiTheme="minorEastAsia" w:eastAsiaTheme="minorEastAsia"/>
          <w:color w:val="auto"/>
          <w:szCs w:val="21"/>
          <w:highlight w:val="none"/>
        </w:rPr>
      </w:pPr>
    </w:p>
    <w:p>
      <w:pPr>
        <w:pStyle w:val="6"/>
        <w:spacing w:after="0" w:line="360" w:lineRule="auto"/>
        <w:rPr>
          <w:rFonts w:cs="宋体" w:asciiTheme="minorEastAsia" w:hAnsiTheme="minorEastAsia" w:eastAsiaTheme="minorEastAsia"/>
          <w:color w:val="auto"/>
          <w:szCs w:val="21"/>
          <w:highlight w:val="none"/>
        </w:rPr>
      </w:pPr>
    </w:p>
    <w:p>
      <w:pPr>
        <w:spacing w:line="360" w:lineRule="auto"/>
        <w:rPr>
          <w:rFonts w:ascii="宋体" w:hAnsi="宋体" w:cs="宋体"/>
          <w:b/>
          <w:bCs/>
          <w:color w:val="auto"/>
          <w:szCs w:val="21"/>
          <w:highlight w:val="none"/>
        </w:rPr>
      </w:pPr>
      <w:r>
        <w:rPr>
          <w:rFonts w:hint="eastAsia" w:ascii="宋体" w:hAnsi="宋体"/>
          <w:b/>
          <w:bCs/>
          <w:color w:val="auto"/>
          <w:szCs w:val="21"/>
          <w:highlight w:val="none"/>
        </w:rPr>
        <w:t>四、</w:t>
      </w:r>
      <w:r>
        <w:rPr>
          <w:rFonts w:hint="eastAsia" w:ascii="宋体" w:hAnsi="宋体" w:cs="宋体"/>
          <w:b/>
          <w:bCs/>
          <w:color w:val="auto"/>
          <w:szCs w:val="21"/>
          <w:highlight w:val="none"/>
        </w:rPr>
        <w:t>项目总体服务要求</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（一）维保服务期</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项目免费维护期1年，免费维护期自项目终验之日起1年。</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（二）服务说明</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所有服务内容必须由原厂提供，供应商不得将本项目的全部或部分转包给第三方。</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（三）服务内容</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安装与实施服务。供应商按照公告方项目需求进行项目实施工作，包括但不限于需求分析、系统设计、开发、测试、上线、培训等，满足公告方对项目上线运行的要求。</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常规维保服务。包括保障软件正常运行、保障公告方业务稳定的所有服务。</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巡检服务。提供每年4次现场巡检服务，具体巡检时间由公告方确定。巡检须派经验丰富的原厂工程师进行预防性检查维护，对配置进行检查，分析系统告警信息并提出整改方案，按公告方要求出具巡检报告、整改方案等文档并负责整改实施。</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升级服务。针对产品缺陷或根据公告方要求为软件免费升级和补丁更新，保证用户能够及时获得相关服务和技术文档的更新。技术文档包括操作手册、产品说明、系统架构、应急处理、规章制度等。如产品出现重大缺陷时，须主动告知公告方升级或应对措施。</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咨询服务。公告方可随时向供应商或原厂进行技术咨询。</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应急服务。提供每周7×24小时专人应急服务电话。</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现场服务。按需提供技术人员现场支援的服务。工程师要保持相对的稳定性。在公告方场所工作时，技术人员应遵守公告方相应的规章制度。</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系统迁移服务。服务期内，如公告方有系统迁移需求，供应商有义务根据公告方要求提供优选迁移建议服务，如有必要供应商到达公告方项目现场提供协助。</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重点时期现场保障服务。重要节假日（五一、国庆、中秋、春节等）和重要时期（网络攻防演练、上级现场监管检查等）提供专业技术人员现场保障和协助的服务，协助公告方防守、加固、溯源和分析等工作。</w:t>
      </w:r>
    </w:p>
    <w:p>
      <w:pPr>
        <w:spacing w:line="360" w:lineRule="auto"/>
        <w:rPr>
          <w:rFonts w:ascii="宋体" w:hAnsi="宋体"/>
          <w:b/>
          <w:bCs/>
          <w:color w:val="auto"/>
          <w:szCs w:val="21"/>
          <w:highlight w:val="none"/>
        </w:rPr>
      </w:pPr>
      <w:r>
        <w:rPr>
          <w:rFonts w:hint="eastAsia" w:ascii="宋体" w:hAnsi="宋体"/>
          <w:b/>
          <w:bCs/>
          <w:color w:val="auto"/>
          <w:szCs w:val="21"/>
          <w:highlight w:val="none"/>
        </w:rPr>
        <w:t>五、供应商（本项目指产品制造商）要求</w:t>
      </w:r>
    </w:p>
    <w:p>
      <w:pPr>
        <w:numPr>
          <w:ilvl w:val="0"/>
          <w:numId w:val="7"/>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供应商具备独立法人资格。</w:t>
      </w:r>
    </w:p>
    <w:p>
      <w:pPr>
        <w:numPr>
          <w:ilvl w:val="0"/>
          <w:numId w:val="7"/>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须提供兼容方面资质材料，包括不限于产品平台与ARM、X86等主流芯片厂商的认证材料、与麒麟、统信、LINUX主流操作系统厂商的认证材料、与东方通、宝蓝德等主流中间件厂商的认证材料、与国产数据库主流供应商的认证材料。</w:t>
      </w:r>
    </w:p>
    <w:p>
      <w:pPr>
        <w:numPr>
          <w:ilvl w:val="0"/>
          <w:numId w:val="7"/>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供应商须具备CMMI3级（含）以上证书，具备ISO9001、ISO20000、ISO27001等体系认证。</w:t>
      </w:r>
    </w:p>
    <w:p>
      <w:pPr>
        <w:numPr>
          <w:ilvl w:val="0"/>
          <w:numId w:val="7"/>
        </w:numPr>
        <w:spacing w:line="360" w:lineRule="auto"/>
        <w:ind w:firstLine="420" w:firstLineChars="200"/>
        <w:rPr>
          <w:color w:val="auto"/>
          <w:highlight w:val="none"/>
        </w:rPr>
      </w:pPr>
      <w:r>
        <w:rPr>
          <w:rFonts w:hint="eastAsia" w:cs="仿宋_GB2312" w:asciiTheme="minorEastAsia" w:hAnsiTheme="minorEastAsia" w:eastAsiaTheme="minorEastAsia"/>
          <w:color w:val="auto"/>
          <w:szCs w:val="21"/>
          <w:highlight w:val="none"/>
        </w:rPr>
        <w:t>供应商按以下要求提供产品的银行业建设案例业绩，并满足以下所有条件：</w:t>
      </w:r>
    </w:p>
    <w:p>
      <w:pPr>
        <w:spacing w:line="360" w:lineRule="auto"/>
        <w:ind w:left="420"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（1）时间要求：2019年1月1日之后签订，并截止2023年8月前成功投产。</w:t>
      </w:r>
    </w:p>
    <w:p>
      <w:pPr>
        <w:spacing w:line="360" w:lineRule="auto"/>
        <w:ind w:left="420"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（2）建设方规模要求：建设方银行2022年资产规模不得低于2000亿。</w:t>
      </w:r>
    </w:p>
    <w:p>
      <w:pPr>
        <w:spacing w:line="360" w:lineRule="auto"/>
        <w:ind w:left="420"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（3）数量要求：至少有3个与国内银行直接签订的</w:t>
      </w:r>
      <w:r>
        <w:rPr>
          <w:rFonts w:hint="eastAsia" w:cs="仿宋_GB2312" w:asciiTheme="minorEastAsia" w:hAnsiTheme="minorEastAsia" w:eastAsiaTheme="minorEastAsia"/>
          <w:bCs/>
          <w:color w:val="auto"/>
          <w:szCs w:val="21"/>
          <w:highlight w:val="none"/>
        </w:rPr>
        <w:t>银联前置业务</w:t>
      </w:r>
      <w:r>
        <w:rPr>
          <w:rFonts w:hint="eastAsia" w:cs="仿宋_GB2312" w:asciiTheme="minorEastAsia" w:hAnsiTheme="minorEastAsia" w:eastAsiaTheme="minorEastAsia"/>
          <w:color w:val="auto"/>
          <w:szCs w:val="21"/>
          <w:highlight w:val="none"/>
        </w:rPr>
        <w:t>实施案例，并且基于相同的技术平台至少额外有1个案例对接人行支付结算系统。</w:t>
      </w:r>
    </w:p>
    <w:p>
      <w:pPr>
        <w:spacing w:line="360" w:lineRule="auto"/>
        <w:ind w:left="420" w:firstLine="420" w:firstLineChars="200"/>
        <w:rPr>
          <w:color w:val="auto"/>
          <w:highlight w:val="none"/>
        </w:rPr>
      </w:pPr>
      <w:r>
        <w:rPr>
          <w:rFonts w:hint="eastAsia" w:cs="仿宋_GB2312" w:asciiTheme="minorEastAsia" w:hAnsiTheme="minorEastAsia" w:eastAsiaTheme="minorEastAsia"/>
          <w:color w:val="auto"/>
          <w:szCs w:val="21"/>
          <w:highlight w:val="none"/>
        </w:rPr>
        <w:t>（4）其他要求：案例业绩需要包含银联前置业务的整体技术平台更换以及全部业务功能、流程重塑，不包含常规的人力外包服务或局部的功能、技术拓展。</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color w:val="auto"/>
          <w:szCs w:val="21"/>
          <w:highlight w:val="none"/>
        </w:rPr>
        <w:t>上述相关证明材料在递交反馈《</w:t>
      </w:r>
      <w:r>
        <w:rPr>
          <w:rFonts w:hint="eastAsia" w:cs="仿宋_GB2312" w:asciiTheme="minorEastAsia" w:hAnsiTheme="minorEastAsia" w:eastAsiaTheme="minorEastAsia"/>
          <w:b/>
          <w:bCs/>
          <w:color w:val="auto"/>
          <w:szCs w:val="21"/>
          <w:highlight w:val="none"/>
        </w:rPr>
        <w:t>东莞农村商业银行统一支付平台及银联业务下移建设项目</w:t>
      </w:r>
      <w:r>
        <w:rPr>
          <w:rFonts w:hint="eastAsia" w:cs="仿宋_GB2312" w:asciiTheme="minorEastAsia" w:hAnsiTheme="minorEastAsia" w:eastAsiaTheme="minorEastAsia"/>
          <w:color w:val="auto"/>
          <w:szCs w:val="21"/>
          <w:highlight w:val="none"/>
        </w:rPr>
        <w:t>市场调研记录表》时应提供上述相关证明材料的复印件加盖供应商公章的扫描件。</w:t>
      </w:r>
    </w:p>
    <w:p>
      <w:pPr>
        <w:rPr>
          <w:color w:val="auto"/>
          <w:highlight w:val="none"/>
        </w:rPr>
      </w:pPr>
    </w:p>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01739"/>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302BC"/>
    <w:multiLevelType w:val="singleLevel"/>
    <w:tmpl w:val="828302BC"/>
    <w:lvl w:ilvl="0" w:tentative="0">
      <w:start w:val="1"/>
      <w:numFmt w:val="decimal"/>
      <w:lvlText w:val="%1."/>
      <w:lvlJc w:val="left"/>
      <w:pPr>
        <w:ind w:left="425" w:hanging="425"/>
      </w:pPr>
      <w:rPr>
        <w:rFonts w:hint="default"/>
      </w:rPr>
    </w:lvl>
  </w:abstractNum>
  <w:abstractNum w:abstractNumId="1">
    <w:nsid w:val="8F4550A4"/>
    <w:multiLevelType w:val="singleLevel"/>
    <w:tmpl w:val="8F4550A4"/>
    <w:lvl w:ilvl="0" w:tentative="0">
      <w:start w:val="1"/>
      <w:numFmt w:val="decimal"/>
      <w:lvlText w:val="%1."/>
      <w:lvlJc w:val="left"/>
      <w:pPr>
        <w:tabs>
          <w:tab w:val="left" w:pos="0"/>
        </w:tabs>
        <w:ind w:left="0" w:firstLine="0"/>
      </w:pPr>
    </w:lvl>
  </w:abstractNum>
  <w:abstractNum w:abstractNumId="2">
    <w:nsid w:val="93E98375"/>
    <w:multiLevelType w:val="singleLevel"/>
    <w:tmpl w:val="93E98375"/>
    <w:lvl w:ilvl="0" w:tentative="0">
      <w:start w:val="1"/>
      <w:numFmt w:val="decimal"/>
      <w:lvlText w:val="%1."/>
      <w:lvlJc w:val="left"/>
      <w:pPr>
        <w:ind w:left="425" w:hanging="425"/>
      </w:pPr>
      <w:rPr>
        <w:rFonts w:hint="default"/>
      </w:rPr>
    </w:lvl>
  </w:abstractNum>
  <w:abstractNum w:abstractNumId="3">
    <w:nsid w:val="F3DEBA44"/>
    <w:multiLevelType w:val="singleLevel"/>
    <w:tmpl w:val="F3DEBA44"/>
    <w:lvl w:ilvl="0" w:tentative="0">
      <w:start w:val="1"/>
      <w:numFmt w:val="decimal"/>
      <w:lvlText w:val="%1."/>
      <w:lvlJc w:val="left"/>
      <w:pPr>
        <w:tabs>
          <w:tab w:val="left" w:pos="0"/>
        </w:tabs>
        <w:ind w:left="0" w:firstLine="0"/>
      </w:pPr>
    </w:lvl>
  </w:abstractNum>
  <w:abstractNum w:abstractNumId="4">
    <w:nsid w:val="F95B47EB"/>
    <w:multiLevelType w:val="singleLevel"/>
    <w:tmpl w:val="F95B47EB"/>
    <w:lvl w:ilvl="0" w:tentative="0">
      <w:start w:val="1"/>
      <w:numFmt w:val="decimal"/>
      <w:lvlText w:val="%1."/>
      <w:lvlJc w:val="left"/>
      <w:pPr>
        <w:ind w:left="425" w:hanging="425"/>
      </w:pPr>
      <w:rPr>
        <w:rFonts w:hint="default"/>
      </w:rPr>
    </w:lvl>
  </w:abstractNum>
  <w:abstractNum w:abstractNumId="5">
    <w:nsid w:val="05580F79"/>
    <w:multiLevelType w:val="singleLevel"/>
    <w:tmpl w:val="05580F79"/>
    <w:lvl w:ilvl="0" w:tentative="0">
      <w:start w:val="1"/>
      <w:numFmt w:val="decimal"/>
      <w:lvlText w:val="%1."/>
      <w:lvlJc w:val="left"/>
      <w:pPr>
        <w:ind w:left="425" w:hanging="425"/>
      </w:pPr>
      <w:rPr>
        <w:rFonts w:hint="default"/>
      </w:rPr>
    </w:lvl>
  </w:abstractNum>
  <w:abstractNum w:abstractNumId="6">
    <w:nsid w:val="4991B3F2"/>
    <w:multiLevelType w:val="singleLevel"/>
    <w:tmpl w:val="4991B3F2"/>
    <w:lvl w:ilvl="0" w:tentative="0">
      <w:start w:val="1"/>
      <w:numFmt w:val="decimal"/>
      <w:lvlText w:val="%1."/>
      <w:lvlJc w:val="left"/>
      <w:pPr>
        <w:ind w:left="425" w:hanging="425"/>
      </w:pPr>
      <w:rPr>
        <w:rFonts w:hint="default"/>
      </w:rPr>
    </w:lvl>
  </w:abstractNum>
  <w:num w:numId="1">
    <w:abstractNumId w:val="6"/>
  </w:num>
  <w:num w:numId="2">
    <w:abstractNumId w:val="5"/>
  </w:num>
  <w:num w:numId="3">
    <w:abstractNumId w:val="2"/>
  </w:num>
  <w:num w:numId="4">
    <w:abstractNumId w:val="0"/>
  </w:num>
  <w:num w:numId="5">
    <w:abstractNumId w:val="4"/>
  </w:num>
  <w:num w:numId="6">
    <w:abstractNumId w:val="3"/>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zZmI1MmVmMGUzZmU4YzE4MDE4M2JlNzA5YjY2OTkifQ=="/>
    <w:docVar w:name="DocumentID" w:val="{0E3E2A62-8616-4EFD-A470-425A960ABB8C}"/>
    <w:docVar w:name="DocumentName" w:val="关于举办“‘医’瞬间 心跳的感觉”2023年青年趣味主题联谊活动的通知"/>
  </w:docVars>
  <w:rsids>
    <w:rsidRoot w:val="009F2FB4"/>
    <w:rsid w:val="00006F67"/>
    <w:rsid w:val="00011DAC"/>
    <w:rsid w:val="00024BF4"/>
    <w:rsid w:val="00034A67"/>
    <w:rsid w:val="00041D24"/>
    <w:rsid w:val="000430B4"/>
    <w:rsid w:val="00072117"/>
    <w:rsid w:val="00074E30"/>
    <w:rsid w:val="000758EF"/>
    <w:rsid w:val="00081A54"/>
    <w:rsid w:val="000D3882"/>
    <w:rsid w:val="000E6541"/>
    <w:rsid w:val="000F4946"/>
    <w:rsid w:val="00110408"/>
    <w:rsid w:val="00114772"/>
    <w:rsid w:val="00115306"/>
    <w:rsid w:val="00115BC4"/>
    <w:rsid w:val="00197C76"/>
    <w:rsid w:val="001A30DB"/>
    <w:rsid w:val="001A46B3"/>
    <w:rsid w:val="001B029E"/>
    <w:rsid w:val="001C2DAC"/>
    <w:rsid w:val="001C322B"/>
    <w:rsid w:val="001D4644"/>
    <w:rsid w:val="001E2627"/>
    <w:rsid w:val="001E7CB5"/>
    <w:rsid w:val="0020239B"/>
    <w:rsid w:val="002052D3"/>
    <w:rsid w:val="00230479"/>
    <w:rsid w:val="00256C17"/>
    <w:rsid w:val="00262832"/>
    <w:rsid w:val="0026628E"/>
    <w:rsid w:val="00283293"/>
    <w:rsid w:val="00284E6C"/>
    <w:rsid w:val="00295FE6"/>
    <w:rsid w:val="002B7344"/>
    <w:rsid w:val="002C13F5"/>
    <w:rsid w:val="002E69AE"/>
    <w:rsid w:val="003000DE"/>
    <w:rsid w:val="00303079"/>
    <w:rsid w:val="003161EC"/>
    <w:rsid w:val="00327475"/>
    <w:rsid w:val="00331B37"/>
    <w:rsid w:val="003425BD"/>
    <w:rsid w:val="00342647"/>
    <w:rsid w:val="00372F3B"/>
    <w:rsid w:val="00386F6F"/>
    <w:rsid w:val="003900F9"/>
    <w:rsid w:val="003942F5"/>
    <w:rsid w:val="003A7E1C"/>
    <w:rsid w:val="003B04D5"/>
    <w:rsid w:val="003B0517"/>
    <w:rsid w:val="003C1B70"/>
    <w:rsid w:val="003D35ED"/>
    <w:rsid w:val="003F64B4"/>
    <w:rsid w:val="00410A8F"/>
    <w:rsid w:val="004227DE"/>
    <w:rsid w:val="004465C1"/>
    <w:rsid w:val="004518E9"/>
    <w:rsid w:val="00484113"/>
    <w:rsid w:val="004842C7"/>
    <w:rsid w:val="004B3E2C"/>
    <w:rsid w:val="0051246D"/>
    <w:rsid w:val="0052378B"/>
    <w:rsid w:val="00531D29"/>
    <w:rsid w:val="00561106"/>
    <w:rsid w:val="00561F31"/>
    <w:rsid w:val="00565A01"/>
    <w:rsid w:val="00565BF2"/>
    <w:rsid w:val="005707D8"/>
    <w:rsid w:val="0058010C"/>
    <w:rsid w:val="005B77FA"/>
    <w:rsid w:val="005C121F"/>
    <w:rsid w:val="005E0F22"/>
    <w:rsid w:val="005E201B"/>
    <w:rsid w:val="005E267B"/>
    <w:rsid w:val="00641010"/>
    <w:rsid w:val="00657D6E"/>
    <w:rsid w:val="00661EED"/>
    <w:rsid w:val="0067085A"/>
    <w:rsid w:val="0067708D"/>
    <w:rsid w:val="00683ADB"/>
    <w:rsid w:val="00684671"/>
    <w:rsid w:val="0068743C"/>
    <w:rsid w:val="00697DF5"/>
    <w:rsid w:val="006B1888"/>
    <w:rsid w:val="006B282D"/>
    <w:rsid w:val="006E028B"/>
    <w:rsid w:val="006E5C90"/>
    <w:rsid w:val="006F6C21"/>
    <w:rsid w:val="007071B7"/>
    <w:rsid w:val="00734FD5"/>
    <w:rsid w:val="00745104"/>
    <w:rsid w:val="00753D1D"/>
    <w:rsid w:val="00755FE0"/>
    <w:rsid w:val="007855B8"/>
    <w:rsid w:val="007B1A85"/>
    <w:rsid w:val="007C1E65"/>
    <w:rsid w:val="007C4B35"/>
    <w:rsid w:val="007C59D9"/>
    <w:rsid w:val="007D1572"/>
    <w:rsid w:val="00812356"/>
    <w:rsid w:val="00817B1D"/>
    <w:rsid w:val="00833E0B"/>
    <w:rsid w:val="00834783"/>
    <w:rsid w:val="00852950"/>
    <w:rsid w:val="00865EA2"/>
    <w:rsid w:val="00876154"/>
    <w:rsid w:val="008877E3"/>
    <w:rsid w:val="008A5EE3"/>
    <w:rsid w:val="008B6D41"/>
    <w:rsid w:val="008E4692"/>
    <w:rsid w:val="008E739F"/>
    <w:rsid w:val="008F5664"/>
    <w:rsid w:val="00906BCA"/>
    <w:rsid w:val="00932867"/>
    <w:rsid w:val="00932D28"/>
    <w:rsid w:val="00955B58"/>
    <w:rsid w:val="009576FF"/>
    <w:rsid w:val="00967333"/>
    <w:rsid w:val="009A6E15"/>
    <w:rsid w:val="009C0081"/>
    <w:rsid w:val="009C139A"/>
    <w:rsid w:val="009C6873"/>
    <w:rsid w:val="009E1C9E"/>
    <w:rsid w:val="009F2FB4"/>
    <w:rsid w:val="009F3433"/>
    <w:rsid w:val="009F5DB2"/>
    <w:rsid w:val="00A062E6"/>
    <w:rsid w:val="00A82238"/>
    <w:rsid w:val="00AC5611"/>
    <w:rsid w:val="00AF0288"/>
    <w:rsid w:val="00AF5E80"/>
    <w:rsid w:val="00AF7968"/>
    <w:rsid w:val="00B561E7"/>
    <w:rsid w:val="00B71931"/>
    <w:rsid w:val="00B902D7"/>
    <w:rsid w:val="00BB0D09"/>
    <w:rsid w:val="00BB1584"/>
    <w:rsid w:val="00BB432E"/>
    <w:rsid w:val="00BD79AF"/>
    <w:rsid w:val="00BF2C23"/>
    <w:rsid w:val="00C046DA"/>
    <w:rsid w:val="00C15B9E"/>
    <w:rsid w:val="00C403E0"/>
    <w:rsid w:val="00C479E2"/>
    <w:rsid w:val="00C67D39"/>
    <w:rsid w:val="00C707AE"/>
    <w:rsid w:val="00C72423"/>
    <w:rsid w:val="00C73729"/>
    <w:rsid w:val="00C8520B"/>
    <w:rsid w:val="00CB63F4"/>
    <w:rsid w:val="00CC1905"/>
    <w:rsid w:val="00CD62A6"/>
    <w:rsid w:val="00CE1758"/>
    <w:rsid w:val="00CE1F85"/>
    <w:rsid w:val="00CE7C21"/>
    <w:rsid w:val="00D37003"/>
    <w:rsid w:val="00D4412B"/>
    <w:rsid w:val="00D45590"/>
    <w:rsid w:val="00D521F8"/>
    <w:rsid w:val="00D5645E"/>
    <w:rsid w:val="00D809E5"/>
    <w:rsid w:val="00DA0CD7"/>
    <w:rsid w:val="00DB70C8"/>
    <w:rsid w:val="00DC0BBA"/>
    <w:rsid w:val="00DD11BD"/>
    <w:rsid w:val="00DE67DC"/>
    <w:rsid w:val="00E1484E"/>
    <w:rsid w:val="00E16703"/>
    <w:rsid w:val="00E32F5E"/>
    <w:rsid w:val="00E3767A"/>
    <w:rsid w:val="00E62D17"/>
    <w:rsid w:val="00E73D07"/>
    <w:rsid w:val="00E751AB"/>
    <w:rsid w:val="00E762DF"/>
    <w:rsid w:val="00EB40A9"/>
    <w:rsid w:val="00EB5C00"/>
    <w:rsid w:val="00EC30FE"/>
    <w:rsid w:val="00EE35B6"/>
    <w:rsid w:val="00EE38FC"/>
    <w:rsid w:val="00F22CA4"/>
    <w:rsid w:val="00F240E7"/>
    <w:rsid w:val="00F5329A"/>
    <w:rsid w:val="00F54D0F"/>
    <w:rsid w:val="00F7178F"/>
    <w:rsid w:val="00F83F86"/>
    <w:rsid w:val="00FA2FB4"/>
    <w:rsid w:val="00FC204D"/>
    <w:rsid w:val="00FC3DC7"/>
    <w:rsid w:val="00FE62F0"/>
    <w:rsid w:val="00FE706B"/>
    <w:rsid w:val="00FF0D95"/>
    <w:rsid w:val="012B7068"/>
    <w:rsid w:val="01374C0C"/>
    <w:rsid w:val="01A259B5"/>
    <w:rsid w:val="0277301A"/>
    <w:rsid w:val="027C41D4"/>
    <w:rsid w:val="029108A9"/>
    <w:rsid w:val="031C15A9"/>
    <w:rsid w:val="03FA7913"/>
    <w:rsid w:val="04C87667"/>
    <w:rsid w:val="04DA1F6F"/>
    <w:rsid w:val="05793607"/>
    <w:rsid w:val="05EF6AC9"/>
    <w:rsid w:val="06221897"/>
    <w:rsid w:val="06313CDB"/>
    <w:rsid w:val="06A27BF1"/>
    <w:rsid w:val="07047ECE"/>
    <w:rsid w:val="071B2025"/>
    <w:rsid w:val="07204EF8"/>
    <w:rsid w:val="07922158"/>
    <w:rsid w:val="07E13EC2"/>
    <w:rsid w:val="07EA340B"/>
    <w:rsid w:val="07FD1FF2"/>
    <w:rsid w:val="08103A22"/>
    <w:rsid w:val="08341171"/>
    <w:rsid w:val="08686258"/>
    <w:rsid w:val="087C10FB"/>
    <w:rsid w:val="08897A92"/>
    <w:rsid w:val="08BD11E5"/>
    <w:rsid w:val="090C06B5"/>
    <w:rsid w:val="091B1937"/>
    <w:rsid w:val="093211A4"/>
    <w:rsid w:val="09500754"/>
    <w:rsid w:val="097129E3"/>
    <w:rsid w:val="098B5FF5"/>
    <w:rsid w:val="09A37F26"/>
    <w:rsid w:val="09CC25EC"/>
    <w:rsid w:val="09E50C48"/>
    <w:rsid w:val="09E91E18"/>
    <w:rsid w:val="09EE4050"/>
    <w:rsid w:val="09F93B0B"/>
    <w:rsid w:val="0A2A2E4F"/>
    <w:rsid w:val="0A8D644A"/>
    <w:rsid w:val="0AEC6744"/>
    <w:rsid w:val="0B01399E"/>
    <w:rsid w:val="0B2E7CE5"/>
    <w:rsid w:val="0B486311"/>
    <w:rsid w:val="0B6B4077"/>
    <w:rsid w:val="0B833E65"/>
    <w:rsid w:val="0BBF029E"/>
    <w:rsid w:val="0C2F2A5E"/>
    <w:rsid w:val="0C60020A"/>
    <w:rsid w:val="0CE54E38"/>
    <w:rsid w:val="0D201B67"/>
    <w:rsid w:val="0D277AA0"/>
    <w:rsid w:val="0D5973C8"/>
    <w:rsid w:val="0DA0163B"/>
    <w:rsid w:val="0DDA2C6A"/>
    <w:rsid w:val="0E097431"/>
    <w:rsid w:val="0E5F4D0D"/>
    <w:rsid w:val="0E6702DE"/>
    <w:rsid w:val="0EC240EF"/>
    <w:rsid w:val="0EDE7171"/>
    <w:rsid w:val="0EEA0580"/>
    <w:rsid w:val="0F075103"/>
    <w:rsid w:val="10524587"/>
    <w:rsid w:val="10BC3DB7"/>
    <w:rsid w:val="10BD6382"/>
    <w:rsid w:val="10E27AA2"/>
    <w:rsid w:val="11044578"/>
    <w:rsid w:val="111D5BA4"/>
    <w:rsid w:val="115D7105"/>
    <w:rsid w:val="11C21371"/>
    <w:rsid w:val="11CC10FB"/>
    <w:rsid w:val="122F2B31"/>
    <w:rsid w:val="12BA5D50"/>
    <w:rsid w:val="1316681A"/>
    <w:rsid w:val="13403EA3"/>
    <w:rsid w:val="136E36ED"/>
    <w:rsid w:val="1381018F"/>
    <w:rsid w:val="139F035F"/>
    <w:rsid w:val="13A94BF9"/>
    <w:rsid w:val="13DE7224"/>
    <w:rsid w:val="13F54728"/>
    <w:rsid w:val="14247998"/>
    <w:rsid w:val="15785D0F"/>
    <w:rsid w:val="15824087"/>
    <w:rsid w:val="15AC3C0A"/>
    <w:rsid w:val="15E51C0A"/>
    <w:rsid w:val="16003A26"/>
    <w:rsid w:val="169731FB"/>
    <w:rsid w:val="16C73FFD"/>
    <w:rsid w:val="16EB6EA7"/>
    <w:rsid w:val="16F76A7B"/>
    <w:rsid w:val="16F93C3E"/>
    <w:rsid w:val="16F94D56"/>
    <w:rsid w:val="16FB1BF9"/>
    <w:rsid w:val="1735378C"/>
    <w:rsid w:val="178737DD"/>
    <w:rsid w:val="17A961D4"/>
    <w:rsid w:val="17AF2403"/>
    <w:rsid w:val="17FD7FE9"/>
    <w:rsid w:val="18376EC9"/>
    <w:rsid w:val="185309F7"/>
    <w:rsid w:val="18565841"/>
    <w:rsid w:val="18B52D40"/>
    <w:rsid w:val="1907212B"/>
    <w:rsid w:val="190B7602"/>
    <w:rsid w:val="19B06735"/>
    <w:rsid w:val="19C15B92"/>
    <w:rsid w:val="19CF7EE4"/>
    <w:rsid w:val="1A3630E4"/>
    <w:rsid w:val="1A574945"/>
    <w:rsid w:val="1AFA1BD0"/>
    <w:rsid w:val="1AFF6057"/>
    <w:rsid w:val="1BB81089"/>
    <w:rsid w:val="1C1F29F1"/>
    <w:rsid w:val="1C387059"/>
    <w:rsid w:val="1CAF74D8"/>
    <w:rsid w:val="1CE01E3B"/>
    <w:rsid w:val="1D754862"/>
    <w:rsid w:val="1D9477C7"/>
    <w:rsid w:val="1DA7501D"/>
    <w:rsid w:val="1E975E58"/>
    <w:rsid w:val="1ED50A74"/>
    <w:rsid w:val="1F7E26B9"/>
    <w:rsid w:val="1F9736CC"/>
    <w:rsid w:val="1FAE710E"/>
    <w:rsid w:val="1FD004F5"/>
    <w:rsid w:val="20854257"/>
    <w:rsid w:val="20986689"/>
    <w:rsid w:val="20A41B57"/>
    <w:rsid w:val="20D962CC"/>
    <w:rsid w:val="212F207F"/>
    <w:rsid w:val="21452025"/>
    <w:rsid w:val="21551D08"/>
    <w:rsid w:val="218D7FF4"/>
    <w:rsid w:val="21A41C3A"/>
    <w:rsid w:val="21B40A0F"/>
    <w:rsid w:val="21E7182E"/>
    <w:rsid w:val="21F64047"/>
    <w:rsid w:val="222F4291"/>
    <w:rsid w:val="22814211"/>
    <w:rsid w:val="228F6DEB"/>
    <w:rsid w:val="22C02917"/>
    <w:rsid w:val="234165E7"/>
    <w:rsid w:val="23EC0C7E"/>
    <w:rsid w:val="248B7883"/>
    <w:rsid w:val="24C774F3"/>
    <w:rsid w:val="24E32653"/>
    <w:rsid w:val="24ED7B29"/>
    <w:rsid w:val="24FA7B37"/>
    <w:rsid w:val="250A5BD3"/>
    <w:rsid w:val="25933310"/>
    <w:rsid w:val="25C01E7E"/>
    <w:rsid w:val="25E26D21"/>
    <w:rsid w:val="25FC7E3F"/>
    <w:rsid w:val="26256EA1"/>
    <w:rsid w:val="263962C5"/>
    <w:rsid w:val="26F853FE"/>
    <w:rsid w:val="27074394"/>
    <w:rsid w:val="27827560"/>
    <w:rsid w:val="278D6D62"/>
    <w:rsid w:val="27C32548"/>
    <w:rsid w:val="27EF0B64"/>
    <w:rsid w:val="280B6CB5"/>
    <w:rsid w:val="28E33CA5"/>
    <w:rsid w:val="29020CD6"/>
    <w:rsid w:val="296E5E07"/>
    <w:rsid w:val="297A24E8"/>
    <w:rsid w:val="29A8028E"/>
    <w:rsid w:val="29CC3C22"/>
    <w:rsid w:val="29FA516E"/>
    <w:rsid w:val="2A006F73"/>
    <w:rsid w:val="2B3E26E9"/>
    <w:rsid w:val="2B5D7831"/>
    <w:rsid w:val="2BA04180"/>
    <w:rsid w:val="2BC65CD8"/>
    <w:rsid w:val="2C27277D"/>
    <w:rsid w:val="2C5D6901"/>
    <w:rsid w:val="2C9A25B7"/>
    <w:rsid w:val="2CFE6F5D"/>
    <w:rsid w:val="2D06375B"/>
    <w:rsid w:val="2D3042B4"/>
    <w:rsid w:val="2D30727C"/>
    <w:rsid w:val="2D886EC1"/>
    <w:rsid w:val="2DB96DCE"/>
    <w:rsid w:val="2E0809F2"/>
    <w:rsid w:val="2E533718"/>
    <w:rsid w:val="2E855ADF"/>
    <w:rsid w:val="2EC8784D"/>
    <w:rsid w:val="2F7945E4"/>
    <w:rsid w:val="2F93021B"/>
    <w:rsid w:val="2FAE7798"/>
    <w:rsid w:val="2FB3074F"/>
    <w:rsid w:val="2FD357A1"/>
    <w:rsid w:val="2FF279EE"/>
    <w:rsid w:val="302C34A7"/>
    <w:rsid w:val="3034552F"/>
    <w:rsid w:val="306A3D7B"/>
    <w:rsid w:val="30E20C8F"/>
    <w:rsid w:val="310445CE"/>
    <w:rsid w:val="312E5992"/>
    <w:rsid w:val="31611219"/>
    <w:rsid w:val="31C35F31"/>
    <w:rsid w:val="328153EA"/>
    <w:rsid w:val="328A4FE6"/>
    <w:rsid w:val="32A2020C"/>
    <w:rsid w:val="33421B7C"/>
    <w:rsid w:val="337C3E29"/>
    <w:rsid w:val="3392652C"/>
    <w:rsid w:val="33C36CFB"/>
    <w:rsid w:val="34052FE8"/>
    <w:rsid w:val="340E164C"/>
    <w:rsid w:val="34143559"/>
    <w:rsid w:val="354074ED"/>
    <w:rsid w:val="35605FCE"/>
    <w:rsid w:val="35882501"/>
    <w:rsid w:val="358F726C"/>
    <w:rsid w:val="3601226B"/>
    <w:rsid w:val="37440EBB"/>
    <w:rsid w:val="378B5F39"/>
    <w:rsid w:val="37907BFA"/>
    <w:rsid w:val="379F24CF"/>
    <w:rsid w:val="38485F9B"/>
    <w:rsid w:val="388E6F92"/>
    <w:rsid w:val="39243950"/>
    <w:rsid w:val="396A4CE1"/>
    <w:rsid w:val="3A1976E0"/>
    <w:rsid w:val="3A666609"/>
    <w:rsid w:val="3A9D40B6"/>
    <w:rsid w:val="3AD0485E"/>
    <w:rsid w:val="3AF52546"/>
    <w:rsid w:val="3BDC148B"/>
    <w:rsid w:val="3BEC7F9A"/>
    <w:rsid w:val="3C161724"/>
    <w:rsid w:val="3C39735A"/>
    <w:rsid w:val="3C643A21"/>
    <w:rsid w:val="3C6826F4"/>
    <w:rsid w:val="3C907D69"/>
    <w:rsid w:val="3C9776F3"/>
    <w:rsid w:val="3DBD2567"/>
    <w:rsid w:val="3DC65BE7"/>
    <w:rsid w:val="3DD12D56"/>
    <w:rsid w:val="3E0E5984"/>
    <w:rsid w:val="3E6E497D"/>
    <w:rsid w:val="3E900B33"/>
    <w:rsid w:val="3EAA16DD"/>
    <w:rsid w:val="3EDF4135"/>
    <w:rsid w:val="3EF45B57"/>
    <w:rsid w:val="3F2029A0"/>
    <w:rsid w:val="3F433E5A"/>
    <w:rsid w:val="3F593911"/>
    <w:rsid w:val="401F5B2B"/>
    <w:rsid w:val="40275AB8"/>
    <w:rsid w:val="405F012D"/>
    <w:rsid w:val="407F2EC5"/>
    <w:rsid w:val="40CF284C"/>
    <w:rsid w:val="40E666D6"/>
    <w:rsid w:val="410A27F8"/>
    <w:rsid w:val="412A3870"/>
    <w:rsid w:val="412C6278"/>
    <w:rsid w:val="4144179F"/>
    <w:rsid w:val="41A43F03"/>
    <w:rsid w:val="41EA08B5"/>
    <w:rsid w:val="41EF4D3D"/>
    <w:rsid w:val="4250579A"/>
    <w:rsid w:val="42B204C6"/>
    <w:rsid w:val="42EE0B0F"/>
    <w:rsid w:val="42F02098"/>
    <w:rsid w:val="43B24EF0"/>
    <w:rsid w:val="44337121"/>
    <w:rsid w:val="444C2477"/>
    <w:rsid w:val="445C4E37"/>
    <w:rsid w:val="44A65FDD"/>
    <w:rsid w:val="45016875"/>
    <w:rsid w:val="45103CBD"/>
    <w:rsid w:val="453A530A"/>
    <w:rsid w:val="453B44A5"/>
    <w:rsid w:val="456A43A7"/>
    <w:rsid w:val="45796508"/>
    <w:rsid w:val="45B375E6"/>
    <w:rsid w:val="45C476F1"/>
    <w:rsid w:val="45E11C4F"/>
    <w:rsid w:val="463F1EE2"/>
    <w:rsid w:val="46CF48BB"/>
    <w:rsid w:val="46FD0831"/>
    <w:rsid w:val="47713C3C"/>
    <w:rsid w:val="477737C9"/>
    <w:rsid w:val="47B922BA"/>
    <w:rsid w:val="47BE41C3"/>
    <w:rsid w:val="47EA630C"/>
    <w:rsid w:val="482A5950"/>
    <w:rsid w:val="489F1C54"/>
    <w:rsid w:val="48D92391"/>
    <w:rsid w:val="48DC07B3"/>
    <w:rsid w:val="48E22AF9"/>
    <w:rsid w:val="49104A69"/>
    <w:rsid w:val="493B2883"/>
    <w:rsid w:val="493C57C4"/>
    <w:rsid w:val="49607E4F"/>
    <w:rsid w:val="496D2C05"/>
    <w:rsid w:val="49CC3EE3"/>
    <w:rsid w:val="49F573AB"/>
    <w:rsid w:val="4A323C48"/>
    <w:rsid w:val="4A655B5A"/>
    <w:rsid w:val="4A826CD8"/>
    <w:rsid w:val="4AAE1013"/>
    <w:rsid w:val="4ADA0199"/>
    <w:rsid w:val="4B104C17"/>
    <w:rsid w:val="4B8340DA"/>
    <w:rsid w:val="4B926951"/>
    <w:rsid w:val="4BB84D48"/>
    <w:rsid w:val="4BBC374F"/>
    <w:rsid w:val="4BEE199F"/>
    <w:rsid w:val="4BFB5366"/>
    <w:rsid w:val="4C0705E8"/>
    <w:rsid w:val="4C321E71"/>
    <w:rsid w:val="4C497047"/>
    <w:rsid w:val="4C574A64"/>
    <w:rsid w:val="4C5E0D5A"/>
    <w:rsid w:val="4CA81357"/>
    <w:rsid w:val="4D7D176B"/>
    <w:rsid w:val="4DA40749"/>
    <w:rsid w:val="4DC70853"/>
    <w:rsid w:val="4E0F020F"/>
    <w:rsid w:val="4E85621C"/>
    <w:rsid w:val="4EDD4554"/>
    <w:rsid w:val="4EE61FAB"/>
    <w:rsid w:val="4EFB1622"/>
    <w:rsid w:val="4F265CEA"/>
    <w:rsid w:val="4F524DAE"/>
    <w:rsid w:val="4F7769ED"/>
    <w:rsid w:val="4F9427E6"/>
    <w:rsid w:val="4F9E0E2B"/>
    <w:rsid w:val="50E23A41"/>
    <w:rsid w:val="51172EEC"/>
    <w:rsid w:val="512C1D12"/>
    <w:rsid w:val="514946EA"/>
    <w:rsid w:val="51AC0B8B"/>
    <w:rsid w:val="51B45F98"/>
    <w:rsid w:val="52276047"/>
    <w:rsid w:val="524A1938"/>
    <w:rsid w:val="52CA6EA2"/>
    <w:rsid w:val="52CC0FE3"/>
    <w:rsid w:val="53385DDA"/>
    <w:rsid w:val="53734287"/>
    <w:rsid w:val="5396336E"/>
    <w:rsid w:val="54471B54"/>
    <w:rsid w:val="547E6904"/>
    <w:rsid w:val="54A93C2B"/>
    <w:rsid w:val="550F1CE0"/>
    <w:rsid w:val="559B337F"/>
    <w:rsid w:val="55DD2EEF"/>
    <w:rsid w:val="55E276DA"/>
    <w:rsid w:val="562260D0"/>
    <w:rsid w:val="56C675EA"/>
    <w:rsid w:val="56E26F1A"/>
    <w:rsid w:val="580C7901"/>
    <w:rsid w:val="583B0A46"/>
    <w:rsid w:val="58E00F5E"/>
    <w:rsid w:val="58F63101"/>
    <w:rsid w:val="598A2678"/>
    <w:rsid w:val="598B0C2D"/>
    <w:rsid w:val="5A713E1B"/>
    <w:rsid w:val="5ACB3F81"/>
    <w:rsid w:val="5BE273EE"/>
    <w:rsid w:val="5C124EDB"/>
    <w:rsid w:val="5C3200D6"/>
    <w:rsid w:val="5D1549B8"/>
    <w:rsid w:val="5DD04BD2"/>
    <w:rsid w:val="5DF2741F"/>
    <w:rsid w:val="5E413D91"/>
    <w:rsid w:val="5E7F7895"/>
    <w:rsid w:val="5ED40ADE"/>
    <w:rsid w:val="5F192BC5"/>
    <w:rsid w:val="5F261328"/>
    <w:rsid w:val="5F797C86"/>
    <w:rsid w:val="5FB51E90"/>
    <w:rsid w:val="5FC058B5"/>
    <w:rsid w:val="607F065F"/>
    <w:rsid w:val="60B02807"/>
    <w:rsid w:val="61A429C0"/>
    <w:rsid w:val="61CC1E53"/>
    <w:rsid w:val="61EA56B3"/>
    <w:rsid w:val="6253185F"/>
    <w:rsid w:val="62F373DE"/>
    <w:rsid w:val="631840FD"/>
    <w:rsid w:val="63222E31"/>
    <w:rsid w:val="632C6FC4"/>
    <w:rsid w:val="63EF7B55"/>
    <w:rsid w:val="63FD189B"/>
    <w:rsid w:val="6408062D"/>
    <w:rsid w:val="64480A16"/>
    <w:rsid w:val="6472185A"/>
    <w:rsid w:val="64731455"/>
    <w:rsid w:val="64A439A6"/>
    <w:rsid w:val="64F94FB6"/>
    <w:rsid w:val="65501C97"/>
    <w:rsid w:val="65694370"/>
    <w:rsid w:val="65A00C47"/>
    <w:rsid w:val="65A53562"/>
    <w:rsid w:val="65BE2C69"/>
    <w:rsid w:val="6611216B"/>
    <w:rsid w:val="66113DAE"/>
    <w:rsid w:val="661B3092"/>
    <w:rsid w:val="662C12FA"/>
    <w:rsid w:val="66315729"/>
    <w:rsid w:val="666B23BE"/>
    <w:rsid w:val="66887A48"/>
    <w:rsid w:val="66E35DDB"/>
    <w:rsid w:val="66FD52CD"/>
    <w:rsid w:val="671059A6"/>
    <w:rsid w:val="67897F92"/>
    <w:rsid w:val="67A9489F"/>
    <w:rsid w:val="685F2D49"/>
    <w:rsid w:val="687B77F4"/>
    <w:rsid w:val="68B22800"/>
    <w:rsid w:val="68B2426B"/>
    <w:rsid w:val="68D25785"/>
    <w:rsid w:val="68D93CAA"/>
    <w:rsid w:val="68EF4B15"/>
    <w:rsid w:val="696F5C56"/>
    <w:rsid w:val="69DD483F"/>
    <w:rsid w:val="6A0344AD"/>
    <w:rsid w:val="6ABF3FDF"/>
    <w:rsid w:val="6B0542A1"/>
    <w:rsid w:val="6B391278"/>
    <w:rsid w:val="6B4E7556"/>
    <w:rsid w:val="6B7D64E9"/>
    <w:rsid w:val="6BC50EB1"/>
    <w:rsid w:val="6C1B186B"/>
    <w:rsid w:val="6C47547B"/>
    <w:rsid w:val="6C5D5B58"/>
    <w:rsid w:val="6C9846B8"/>
    <w:rsid w:val="6CA517CF"/>
    <w:rsid w:val="6D3677E6"/>
    <w:rsid w:val="6D7256A0"/>
    <w:rsid w:val="6DF76589"/>
    <w:rsid w:val="6E5F3C3B"/>
    <w:rsid w:val="6E68124A"/>
    <w:rsid w:val="6E9111BD"/>
    <w:rsid w:val="6EC73EAC"/>
    <w:rsid w:val="6ED005BC"/>
    <w:rsid w:val="6F9873EE"/>
    <w:rsid w:val="6F9B00F9"/>
    <w:rsid w:val="70311D20"/>
    <w:rsid w:val="70342CA5"/>
    <w:rsid w:val="705C6010"/>
    <w:rsid w:val="708E6837"/>
    <w:rsid w:val="70E974F5"/>
    <w:rsid w:val="71A43E00"/>
    <w:rsid w:val="71A74D85"/>
    <w:rsid w:val="71DB6272"/>
    <w:rsid w:val="71FB4EB1"/>
    <w:rsid w:val="720A37A4"/>
    <w:rsid w:val="723D2CFA"/>
    <w:rsid w:val="7271224F"/>
    <w:rsid w:val="72AF4F68"/>
    <w:rsid w:val="72C3276F"/>
    <w:rsid w:val="72CF006A"/>
    <w:rsid w:val="72F5331B"/>
    <w:rsid w:val="730F3052"/>
    <w:rsid w:val="73944C37"/>
    <w:rsid w:val="741710A4"/>
    <w:rsid w:val="741E2752"/>
    <w:rsid w:val="749E3893"/>
    <w:rsid w:val="74D31A39"/>
    <w:rsid w:val="74D516B9"/>
    <w:rsid w:val="74DA13C4"/>
    <w:rsid w:val="74F60CF4"/>
    <w:rsid w:val="7507358D"/>
    <w:rsid w:val="756F513B"/>
    <w:rsid w:val="758849E0"/>
    <w:rsid w:val="75CC7A53"/>
    <w:rsid w:val="75D270BD"/>
    <w:rsid w:val="76695ABC"/>
    <w:rsid w:val="76AC4B43"/>
    <w:rsid w:val="76CC1C0D"/>
    <w:rsid w:val="76E976A8"/>
    <w:rsid w:val="76F23FB2"/>
    <w:rsid w:val="76F73CBD"/>
    <w:rsid w:val="772B2E92"/>
    <w:rsid w:val="784D67ED"/>
    <w:rsid w:val="78D12BEE"/>
    <w:rsid w:val="79267AB1"/>
    <w:rsid w:val="79652BD2"/>
    <w:rsid w:val="796F00A6"/>
    <w:rsid w:val="7972242B"/>
    <w:rsid w:val="7A1034E9"/>
    <w:rsid w:val="7A1E2361"/>
    <w:rsid w:val="7A4C4C76"/>
    <w:rsid w:val="7A6354C5"/>
    <w:rsid w:val="7A687DE1"/>
    <w:rsid w:val="7A8B2BF3"/>
    <w:rsid w:val="7A9958FD"/>
    <w:rsid w:val="7AFC60D6"/>
    <w:rsid w:val="7B114D77"/>
    <w:rsid w:val="7B675786"/>
    <w:rsid w:val="7BB46811"/>
    <w:rsid w:val="7BBC11CF"/>
    <w:rsid w:val="7BCB5EBF"/>
    <w:rsid w:val="7BE97626"/>
    <w:rsid w:val="7C02213A"/>
    <w:rsid w:val="7C0D7DE6"/>
    <w:rsid w:val="7C312BF6"/>
    <w:rsid w:val="7CB266A1"/>
    <w:rsid w:val="7D594473"/>
    <w:rsid w:val="7D700A55"/>
    <w:rsid w:val="7D883202"/>
    <w:rsid w:val="7D8E734E"/>
    <w:rsid w:val="7DB17D32"/>
    <w:rsid w:val="7E013DC5"/>
    <w:rsid w:val="7E327E17"/>
    <w:rsid w:val="7E684CD9"/>
    <w:rsid w:val="7EBF07E5"/>
    <w:rsid w:val="7EDB3F5C"/>
    <w:rsid w:val="7EE342FA"/>
    <w:rsid w:val="7EEF2481"/>
    <w:rsid w:val="7F0C0DFF"/>
    <w:rsid w:val="7FE761E4"/>
    <w:rsid w:val="7FED3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ind w:left="180"/>
      <w:textAlignment w:val="baseline"/>
      <w:outlineLvl w:val="1"/>
    </w:pPr>
    <w:rPr>
      <w:rFonts w:ascii="Arial" w:hAnsi="Arial" w:eastAsia="黑体"/>
      <w:b/>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7"/>
    <w:unhideWhenUsed/>
    <w:qFormat/>
    <w:uiPriority w:val="0"/>
    <w:pPr>
      <w:ind w:firstLine="420" w:firstLineChars="200"/>
    </w:pPr>
    <w:rPr>
      <w:rFonts w:ascii="Calibri" w:hAnsi="Calibri"/>
    </w:rPr>
  </w:style>
  <w:style w:type="paragraph" w:styleId="4">
    <w:name w:val="toa heading"/>
    <w:basedOn w:val="1"/>
    <w:next w:val="1"/>
    <w:unhideWhenUsed/>
    <w:qFormat/>
    <w:uiPriority w:val="99"/>
    <w:pPr>
      <w:spacing w:before="120"/>
    </w:pPr>
    <w:rPr>
      <w:rFonts w:asciiTheme="majorHAnsi" w:hAnsiTheme="majorHAnsi" w:cstheme="majorBidi"/>
      <w:sz w:val="24"/>
    </w:rPr>
  </w:style>
  <w:style w:type="paragraph" w:styleId="5">
    <w:name w:val="annotation text"/>
    <w:basedOn w:val="1"/>
    <w:link w:val="24"/>
    <w:semiHidden/>
    <w:unhideWhenUsed/>
    <w:qFormat/>
    <w:uiPriority w:val="99"/>
    <w:pPr>
      <w:jc w:val="left"/>
    </w:pPr>
  </w:style>
  <w:style w:type="paragraph" w:styleId="6">
    <w:name w:val="Body Text"/>
    <w:basedOn w:val="1"/>
    <w:link w:val="23"/>
    <w:qFormat/>
    <w:uiPriority w:val="0"/>
    <w:pPr>
      <w:spacing w:after="120"/>
    </w:pPr>
  </w:style>
  <w:style w:type="paragraph" w:styleId="7">
    <w:name w:val="Balloon Text"/>
    <w:basedOn w:val="1"/>
    <w:link w:val="26"/>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unhideWhenUsed/>
    <w:qFormat/>
    <w:uiPriority w:val="99"/>
    <w:rPr>
      <w:color w:val="0000FF"/>
      <w:u w:val="single"/>
    </w:rPr>
  </w:style>
  <w:style w:type="character" w:styleId="16">
    <w:name w:val="annotation reference"/>
    <w:unhideWhenUsed/>
    <w:qFormat/>
    <w:uiPriority w:val="99"/>
    <w:rPr>
      <w:rFonts w:cs="Times New Roman"/>
      <w:sz w:val="21"/>
      <w:szCs w:val="21"/>
    </w:rPr>
  </w:style>
  <w:style w:type="paragraph" w:customStyle="1" w:styleId="17">
    <w:name w:val="Table Paragraph"/>
    <w:basedOn w:val="1"/>
    <w:qFormat/>
    <w:uiPriority w:val="1"/>
    <w:pPr>
      <w:autoSpaceDE w:val="0"/>
      <w:autoSpaceDN w:val="0"/>
      <w:adjustRightInd w:val="0"/>
      <w:jc w:val="left"/>
    </w:pPr>
    <w:rPr>
      <w:rFonts w:ascii="宋体" w:cs="宋体"/>
      <w:kern w:val="0"/>
      <w:sz w:val="24"/>
    </w:rPr>
  </w:style>
  <w:style w:type="paragraph" w:customStyle="1" w:styleId="18">
    <w:name w:val="样式4"/>
    <w:basedOn w:val="1"/>
    <w:qFormat/>
    <w:uiPriority w:val="0"/>
    <w:pPr>
      <w:tabs>
        <w:tab w:val="left" w:pos="2328"/>
      </w:tabs>
      <w:ind w:left="2328" w:hanging="708"/>
    </w:pPr>
  </w:style>
  <w:style w:type="character" w:customStyle="1" w:styleId="19">
    <w:name w:val="页眉 Char"/>
    <w:link w:val="9"/>
    <w:qFormat/>
    <w:uiPriority w:val="99"/>
    <w:rPr>
      <w:rFonts w:ascii="Times New Roman" w:hAnsi="Times New Roman" w:eastAsia="宋体" w:cs="Times New Roman"/>
      <w:sz w:val="18"/>
      <w:szCs w:val="18"/>
    </w:rPr>
  </w:style>
  <w:style w:type="character" w:customStyle="1" w:styleId="20">
    <w:name w:val="页脚 Char"/>
    <w:link w:val="8"/>
    <w:qFormat/>
    <w:uiPriority w:val="99"/>
    <w:rPr>
      <w:rFonts w:ascii="Times New Roman" w:hAnsi="Times New Roman" w:eastAsia="宋体" w:cs="Times New Roman"/>
      <w:sz w:val="18"/>
      <w:szCs w:val="18"/>
    </w:rPr>
  </w:style>
  <w:style w:type="character" w:customStyle="1" w:styleId="21">
    <w:name w:val="font11"/>
    <w:qFormat/>
    <w:uiPriority w:val="0"/>
    <w:rPr>
      <w:rFonts w:hint="default" w:ascii="Times New Roman" w:hAnsi="Times New Roman" w:cs="Times New Roman"/>
      <w:color w:val="000000"/>
      <w:sz w:val="24"/>
      <w:szCs w:val="24"/>
      <w:u w:val="none"/>
    </w:rPr>
  </w:style>
  <w:style w:type="character" w:customStyle="1" w:styleId="22">
    <w:name w:val="font21"/>
    <w:qFormat/>
    <w:uiPriority w:val="0"/>
    <w:rPr>
      <w:rFonts w:ascii="Arial" w:hAnsi="Arial" w:cs="Arial"/>
      <w:color w:val="000000"/>
      <w:sz w:val="21"/>
      <w:szCs w:val="21"/>
      <w:u w:val="none"/>
    </w:rPr>
  </w:style>
  <w:style w:type="character" w:customStyle="1" w:styleId="23">
    <w:name w:val="正文文本 Char"/>
    <w:basedOn w:val="14"/>
    <w:link w:val="6"/>
    <w:qFormat/>
    <w:uiPriority w:val="0"/>
    <w:rPr>
      <w:rFonts w:ascii="Times New Roman" w:hAnsi="Times New Roman" w:eastAsia="宋体"/>
      <w:kern w:val="2"/>
      <w:sz w:val="21"/>
      <w:szCs w:val="24"/>
    </w:rPr>
  </w:style>
  <w:style w:type="character" w:customStyle="1" w:styleId="24">
    <w:name w:val="批注文字 Char"/>
    <w:basedOn w:val="14"/>
    <w:link w:val="5"/>
    <w:semiHidden/>
    <w:qFormat/>
    <w:uiPriority w:val="99"/>
    <w:rPr>
      <w:rFonts w:ascii="Times New Roman" w:hAnsi="Times New Roman" w:eastAsia="宋体"/>
      <w:kern w:val="2"/>
      <w:sz w:val="21"/>
      <w:szCs w:val="24"/>
    </w:rPr>
  </w:style>
  <w:style w:type="character" w:customStyle="1" w:styleId="25">
    <w:name w:val="批注主题 Char"/>
    <w:basedOn w:val="24"/>
    <w:link w:val="11"/>
    <w:semiHidden/>
    <w:qFormat/>
    <w:uiPriority w:val="99"/>
    <w:rPr>
      <w:rFonts w:ascii="Times New Roman" w:hAnsi="Times New Roman" w:eastAsia="宋体"/>
      <w:b/>
      <w:bCs/>
      <w:kern w:val="2"/>
      <w:sz w:val="21"/>
      <w:szCs w:val="24"/>
    </w:rPr>
  </w:style>
  <w:style w:type="character" w:customStyle="1" w:styleId="26">
    <w:name w:val="批注框文本 Char"/>
    <w:basedOn w:val="14"/>
    <w:link w:val="7"/>
    <w:semiHidden/>
    <w:qFormat/>
    <w:uiPriority w:val="99"/>
    <w:rPr>
      <w:rFonts w:ascii="Times New Roman" w:hAnsi="Times New Roman" w:eastAsia="宋体"/>
      <w:kern w:val="2"/>
      <w:sz w:val="18"/>
      <w:szCs w:val="18"/>
    </w:rPr>
  </w:style>
  <w:style w:type="character" w:customStyle="1" w:styleId="27">
    <w:name w:val="正文缩进 Char"/>
    <w:link w:val="3"/>
    <w:qFormat/>
    <w:uiPriority w:val="0"/>
    <w:rPr>
      <w:rFonts w:ascii="Calibri" w:hAnsi="Calibri" w:eastAsia="宋体"/>
      <w:kern w:val="2"/>
      <w:sz w:val="21"/>
      <w:szCs w:val="24"/>
    </w:rPr>
  </w:style>
  <w:style w:type="paragraph" w:customStyle="1" w:styleId="28">
    <w:name w:val="正文cl"/>
    <w:basedOn w:val="1"/>
    <w:qFormat/>
    <w:uiPriority w:val="0"/>
    <w:pPr>
      <w:snapToGrid w:val="0"/>
      <w:spacing w:line="360" w:lineRule="auto"/>
      <w:ind w:firstLine="600" w:firstLineChars="200"/>
    </w:pPr>
    <w:rPr>
      <w:rFonts w:ascii="Tahoma" w:hAnsi="Tahoma" w:eastAsia="仿宋_GB2312" w:cs="宋体"/>
      <w:sz w:val="30"/>
      <w:szCs w:val="20"/>
    </w:rPr>
  </w:style>
  <w:style w:type="paragraph" w:styleId="29">
    <w:name w:val="List Paragraph"/>
    <w:basedOn w:val="1"/>
    <w:qFormat/>
    <w:uiPriority w:val="99"/>
    <w:pPr>
      <w:ind w:firstLine="420" w:firstLineChars="200"/>
    </w:pPr>
  </w:style>
  <w:style w:type="paragraph" w:customStyle="1" w:styleId="30">
    <w:name w:val="Char1"/>
    <w:basedOn w:val="1"/>
    <w:qFormat/>
    <w:uiPriority w:val="0"/>
    <w:pPr>
      <w:ind w:firstLine="480" w:firstLineChars="200"/>
    </w:pPr>
    <w:rPr>
      <w:rFonts w:eastAsia="仿宋"/>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5AAD-8DC7-4409-A1B4-C2583332E3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501</Words>
  <Characters>2861</Characters>
  <Lines>23</Lines>
  <Paragraphs>6</Paragraphs>
  <TotalTime>0</TotalTime>
  <ScaleCrop>false</ScaleCrop>
  <LinksUpToDate>false</LinksUpToDate>
  <CharactersWithSpaces>3356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2023-04-27T09:53:00Z</dcterms:created>
  <dc:creator>User</dc:creator>
  <cp:lastModifiedBy>Administrator</cp:lastModifiedBy>
  <dcterms:modified xsi:type="dcterms:W3CDTF">2023-09-08T09:07:52Z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B9C7149A05E24207BEC9CEC1294D53FF</vt:lpwstr>
  </property>
</Properties>
</file>