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东莞农村商业银行藏品管理系统建设项目市场调研项目需求</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一、项目信息</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cs="仿宋_GB2312" w:asciiTheme="minorEastAsia" w:hAnsiTheme="minorEastAsia" w:eastAsiaTheme="minorEastAsia"/>
          <w:bCs/>
          <w:color w:val="auto"/>
          <w:szCs w:val="21"/>
          <w:highlight w:val="none"/>
        </w:rPr>
        <w:t>项目名称：</w:t>
      </w:r>
      <w:r>
        <w:rPr>
          <w:rFonts w:hint="eastAsia" w:cs="仿宋_GB2312" w:asciiTheme="minorEastAsia" w:hAnsiTheme="minorEastAsia" w:eastAsiaTheme="minorEastAsia"/>
          <w:bCs/>
          <w:color w:val="auto"/>
          <w:szCs w:val="21"/>
          <w:highlight w:val="none"/>
        </w:rPr>
        <w:t>东莞农村商业银行藏</w:t>
      </w:r>
      <w:bookmarkStart w:id="0" w:name="_GoBack"/>
      <w:bookmarkEnd w:id="0"/>
      <w:r>
        <w:rPr>
          <w:rFonts w:hint="eastAsia" w:cs="仿宋_GB2312" w:asciiTheme="minorEastAsia" w:hAnsiTheme="minorEastAsia" w:eastAsiaTheme="minorEastAsia"/>
          <w:bCs/>
          <w:color w:val="auto"/>
          <w:szCs w:val="21"/>
          <w:highlight w:val="none"/>
        </w:rPr>
        <w:t>品管理系统建设项目</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采购人：东莞农村商业银行股份有限公司</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cs="仿宋_GB2312" w:asciiTheme="minorEastAsia" w:hAnsiTheme="minorEastAsia" w:eastAsiaTheme="minorEastAsia"/>
          <w:bCs/>
          <w:color w:val="auto"/>
          <w:szCs w:val="21"/>
          <w:highlight w:val="none"/>
        </w:rPr>
        <w:t>项目</w:t>
      </w:r>
      <w:r>
        <w:rPr>
          <w:rFonts w:hint="eastAsia" w:cs="仿宋_GB2312" w:asciiTheme="minorEastAsia" w:hAnsiTheme="minorEastAsia" w:eastAsiaTheme="minorEastAsia"/>
          <w:bCs/>
          <w:color w:val="auto"/>
          <w:szCs w:val="21"/>
          <w:highlight w:val="none"/>
        </w:rPr>
        <w:t>概算</w:t>
      </w:r>
      <w:r>
        <w:rPr>
          <w:rFonts w:cs="仿宋_GB2312" w:asciiTheme="minorEastAsia" w:hAnsiTheme="minorEastAsia" w:eastAsiaTheme="minorEastAsia"/>
          <w:bCs/>
          <w:color w:val="auto"/>
          <w:szCs w:val="21"/>
          <w:highlight w:val="none"/>
        </w:rPr>
        <w:t>：</w:t>
      </w:r>
      <w:r>
        <w:rPr>
          <w:rFonts w:hint="eastAsia" w:cs="仿宋_GB2312" w:asciiTheme="minorEastAsia" w:hAnsiTheme="minorEastAsia" w:eastAsiaTheme="minorEastAsia"/>
          <w:bCs/>
          <w:color w:val="auto"/>
          <w:szCs w:val="21"/>
          <w:highlight w:val="none"/>
        </w:rPr>
        <w:t>人民币约25</w:t>
      </w:r>
      <w:r>
        <w:rPr>
          <w:rFonts w:cs="仿宋_GB2312" w:asciiTheme="minorEastAsia" w:hAnsiTheme="minorEastAsia" w:eastAsiaTheme="minorEastAsia"/>
          <w:bCs/>
          <w:color w:val="auto"/>
          <w:szCs w:val="21"/>
          <w:highlight w:val="none"/>
        </w:rPr>
        <w:t>万元</w:t>
      </w:r>
      <w:r>
        <w:rPr>
          <w:rFonts w:hint="eastAsia" w:cs="仿宋_GB2312" w:asciiTheme="minorEastAsia" w:hAnsiTheme="minorEastAsia" w:eastAsiaTheme="minorEastAsia"/>
          <w:bCs/>
          <w:color w:val="auto"/>
          <w:szCs w:val="21"/>
          <w:highlight w:val="none"/>
        </w:rPr>
        <w:t>（含税）</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项目预计采购时间：2023年7月</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项目工期要求：</w:t>
      </w:r>
      <w:r>
        <w:rPr>
          <w:rFonts w:hint="eastAsia" w:cs="仿宋_GB2312" w:asciiTheme="minorEastAsia" w:hAnsiTheme="minorEastAsia" w:eastAsiaTheme="minorEastAsia"/>
          <w:bCs/>
          <w:color w:val="auto"/>
          <w:szCs w:val="21"/>
          <w:highlight w:val="none"/>
        </w:rPr>
        <w:t>项目总工期4个月，分为两个阶段。第一阶段为3个月，需完成主要的系统需求、开发、测试与投产等工作；第二阶段为1个月，解决系统试运行问题，系统达到验收要求</w:t>
      </w:r>
      <w:r>
        <w:rPr>
          <w:rFonts w:hint="eastAsia" w:cs="仿宋_GB2312" w:asciiTheme="minorEastAsia" w:hAnsiTheme="minorEastAsia" w:eastAsiaTheme="minorEastAsia"/>
          <w:bCs/>
          <w:color w:val="auto"/>
          <w:szCs w:val="21"/>
          <w:highlight w:val="none"/>
        </w:rPr>
        <w:t>。</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维保服务期：项目免费维护1年。</w:t>
      </w:r>
    </w:p>
    <w:p>
      <w:pPr>
        <w:widowControl/>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注意：本次公告属于项目市场调研需求，上述预计采购时间</w:t>
      </w:r>
      <w:r>
        <w:rPr>
          <w:rFonts w:hint="eastAsia" w:cs="仿宋_GB2312" w:asciiTheme="minorEastAsia" w:hAnsiTheme="minorEastAsia" w:eastAsiaTheme="minorEastAsia"/>
          <w:bCs/>
          <w:color w:val="auto"/>
          <w:szCs w:val="21"/>
          <w:highlight w:val="none"/>
        </w:rPr>
        <w:t>与项目概算</w:t>
      </w:r>
      <w:r>
        <w:rPr>
          <w:rFonts w:hint="eastAsia" w:cs="仿宋_GB2312" w:asciiTheme="minorEastAsia" w:hAnsiTheme="minorEastAsia" w:eastAsiaTheme="minorEastAsia"/>
          <w:bCs/>
          <w:color w:val="auto"/>
          <w:szCs w:val="21"/>
          <w:highlight w:val="none"/>
        </w:rPr>
        <w:t>只是公告方根据自身计划所作估计，并不代表后续任何实质性承诺；另外，本次项目需求调研，属于公告方对外寻找相关符合要求的供应商进行交流的意向，并不代表公告方对报名供应商的任何承诺，后续公告方将根据自身计划进行项目采购。报名供应商或后续参与交流的供应商并不代表已获得公告方的认可或获得任何参与后续项目投标、合同方面的承诺。本次项目调研公告方将根据报名供应商提交的资料情况，择优选择供应商进行现场或线上交流。</w:t>
      </w:r>
    </w:p>
    <w:p>
      <w:pPr>
        <w:spacing w:line="360" w:lineRule="auto"/>
        <w:rPr>
          <w:rFonts w:ascii="宋体" w:hAnsi="宋体"/>
          <w:b/>
          <w:color w:val="auto"/>
          <w:szCs w:val="21"/>
          <w:highlight w:val="none"/>
        </w:rPr>
      </w:pPr>
      <w:r>
        <w:rPr>
          <w:rFonts w:hint="eastAsia" w:ascii="宋体" w:hAnsi="宋体"/>
          <w:b/>
          <w:color w:val="auto"/>
          <w:szCs w:val="21"/>
          <w:highlight w:val="none"/>
        </w:rPr>
        <w:t>二</w:t>
      </w:r>
      <w:r>
        <w:rPr>
          <w:rFonts w:ascii="宋体" w:hAnsi="宋体"/>
          <w:b/>
          <w:color w:val="auto"/>
          <w:szCs w:val="21"/>
          <w:highlight w:val="none"/>
        </w:rPr>
        <w:t>、</w:t>
      </w:r>
      <w:r>
        <w:rPr>
          <w:rFonts w:hint="eastAsia" w:ascii="宋体" w:hAnsi="宋体"/>
          <w:b/>
          <w:color w:val="auto"/>
          <w:szCs w:val="21"/>
          <w:highlight w:val="none"/>
        </w:rPr>
        <w:t>项目背景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w:t>
      </w:r>
      <w:r>
        <w:rPr>
          <w:rFonts w:hint="eastAsia" w:cs="仿宋_GB2312" w:asciiTheme="minorEastAsia" w:hAnsiTheme="minorEastAsia" w:eastAsiaTheme="minorEastAsia"/>
          <w:bCs/>
          <w:color w:val="auto"/>
          <w:szCs w:val="21"/>
          <w:highlight w:val="none"/>
        </w:rPr>
        <w:t>了满足工作需要，提升管理效率，拟开展藏品管理系统建设项目，实现藏品数据统一管理、统一存储的藏品管理系统。</w:t>
      </w:r>
      <w:r>
        <w:rPr>
          <w:rFonts w:hint="eastAsia" w:ascii="宋体" w:hAnsi="宋体"/>
          <w:color w:val="auto"/>
          <w:szCs w:val="21"/>
          <w:highlight w:val="none"/>
        </w:rPr>
        <w:t>欢迎愿意参加本项目市场调研的潜在供应商（本次项目需求的供应商指具备</w:t>
      </w:r>
      <w:r>
        <w:rPr>
          <w:rFonts w:hint="eastAsia" w:cs="仿宋_GB2312" w:asciiTheme="minorEastAsia" w:hAnsiTheme="minorEastAsia" w:eastAsiaTheme="minorEastAsia"/>
          <w:color w:val="auto"/>
          <w:szCs w:val="21"/>
          <w:highlight w:val="none"/>
        </w:rPr>
        <w:t>系统开发</w:t>
      </w:r>
      <w:r>
        <w:rPr>
          <w:rFonts w:hint="eastAsia" w:ascii="宋体" w:hAnsi="宋体"/>
          <w:color w:val="auto"/>
          <w:szCs w:val="21"/>
          <w:highlight w:val="none"/>
        </w:rPr>
        <w:t>能力的</w:t>
      </w:r>
      <w:r>
        <w:rPr>
          <w:rFonts w:hint="eastAsia" w:ascii="宋体" w:hAnsi="宋体"/>
          <w:color w:val="auto"/>
          <w:szCs w:val="21"/>
          <w:highlight w:val="none"/>
        </w:rPr>
        <w:t>公司），提供市场调研资料。</w:t>
      </w:r>
    </w:p>
    <w:p>
      <w:pPr>
        <w:spacing w:line="360" w:lineRule="auto"/>
        <w:rPr>
          <w:rFonts w:ascii="宋体" w:hAnsi="宋体"/>
          <w:b/>
          <w:bCs/>
          <w:color w:val="auto"/>
          <w:szCs w:val="21"/>
          <w:highlight w:val="none"/>
        </w:rPr>
      </w:pPr>
      <w:r>
        <w:rPr>
          <w:rFonts w:hint="eastAsia" w:ascii="宋体" w:hAnsi="宋体"/>
          <w:b/>
          <w:color w:val="auto"/>
          <w:szCs w:val="21"/>
          <w:highlight w:val="none"/>
        </w:rPr>
        <w:t>三</w:t>
      </w:r>
      <w:r>
        <w:rPr>
          <w:rFonts w:ascii="宋体" w:hAnsi="宋体"/>
          <w:b/>
          <w:color w:val="auto"/>
          <w:szCs w:val="21"/>
          <w:highlight w:val="none"/>
        </w:rPr>
        <w:t>、</w:t>
      </w:r>
      <w:r>
        <w:rPr>
          <w:rFonts w:hint="eastAsia" w:ascii="宋体" w:hAnsi="宋体"/>
          <w:b/>
          <w:bCs/>
          <w:color w:val="auto"/>
          <w:szCs w:val="21"/>
          <w:highlight w:val="none"/>
        </w:rPr>
        <w:t>项目内容</w:t>
      </w:r>
    </w:p>
    <w:p>
      <w:pPr>
        <w:spacing w:line="360" w:lineRule="auto"/>
        <w:ind w:firstLine="422" w:firstLineChars="200"/>
        <w:rPr>
          <w:rFonts w:cs="楷体_GB2312" w:asciiTheme="minorEastAsia" w:hAnsiTheme="minorEastAsia" w:eastAsiaTheme="minorEastAsia"/>
          <w:b/>
          <w:bCs/>
          <w:color w:val="auto"/>
          <w:kern w:val="28"/>
          <w:szCs w:val="21"/>
          <w:highlight w:val="none"/>
        </w:rPr>
      </w:pPr>
      <w:r>
        <w:rPr>
          <w:rFonts w:hint="eastAsia" w:cs="楷体_GB2312" w:asciiTheme="minorEastAsia" w:hAnsiTheme="minorEastAsia" w:eastAsiaTheme="minorEastAsia"/>
          <w:b/>
          <w:bCs/>
          <w:color w:val="auto"/>
          <w:kern w:val="28"/>
          <w:szCs w:val="21"/>
          <w:highlight w:val="none"/>
        </w:rPr>
        <w:t>（一）项目需求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藏品管理系统建设项目，主要</w:t>
      </w:r>
      <w:r>
        <w:rPr>
          <w:rFonts w:hint="eastAsia" w:cs="仿宋_GB2312" w:asciiTheme="minorEastAsia" w:hAnsiTheme="minorEastAsia" w:eastAsiaTheme="minorEastAsia"/>
          <w:bCs/>
          <w:color w:val="auto"/>
          <w:szCs w:val="21"/>
          <w:highlight w:val="none"/>
        </w:rPr>
        <w:t>通过建设藏品管理系统，以实现集征集管理、鉴定管理、账目管理、藏品管理（藏品入库、藏品提用、藏品盘点、藏品报损、藏品注销）、库房管理、展厅管理、统计分析、权限管理、系统工具等各业务模块</w:t>
      </w:r>
      <w:r>
        <w:rPr>
          <w:rFonts w:hint="eastAsia" w:ascii="宋体" w:hAnsi="宋体" w:cs="宋体"/>
          <w:color w:val="auto"/>
          <w:szCs w:val="21"/>
          <w:highlight w:val="none"/>
        </w:rPr>
        <w:t>功能，具体需求如下表所示：</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081"/>
        <w:gridCol w:w="1631"/>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序号</w:t>
            </w:r>
          </w:p>
        </w:tc>
        <w:tc>
          <w:tcPr>
            <w:tcW w:w="542"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需求类别</w:t>
            </w:r>
          </w:p>
        </w:tc>
        <w:tc>
          <w:tcPr>
            <w:tcW w:w="817"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b/>
                <w:color w:val="auto"/>
                <w:szCs w:val="21"/>
                <w:highlight w:val="none"/>
              </w:rPr>
              <w:t>子项</w:t>
            </w:r>
          </w:p>
        </w:tc>
        <w:tc>
          <w:tcPr>
            <w:tcW w:w="3256"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b/>
                <w:color w:val="auto"/>
                <w:szCs w:val="21"/>
                <w:highlight w:val="none"/>
              </w:rPr>
              <w:t>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p>
        </w:tc>
        <w:tc>
          <w:tcPr>
            <w:tcW w:w="542" w:type="pct"/>
            <w:vMerge w:val="restart"/>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业务需求</w:t>
            </w: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428"/>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门户信息</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1" w:right="6"/>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日常工作常用功能，包括快捷功能，藏品统计（藏品总数、在库藏品数、提用出库数、待入库数、待入账数、注销藏品等）、待办事项（待办、已办、我的申请等），多维度统计分析等多个显示模块。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jc w:val="center"/>
              <w:rPr>
                <w:rFonts w:cs="仿宋_GB2312" w:asciiTheme="minorEastAsia" w:hAnsiTheme="minorEastAsia" w:eastAsiaTheme="minorEastAsia"/>
                <w:bCs/>
                <w:color w:val="auto"/>
                <w:kern w:val="2"/>
                <w:sz w:val="21"/>
                <w:szCs w:val="21"/>
                <w:highlight w:val="none"/>
              </w:rPr>
            </w:pPr>
            <w:r>
              <w:rPr>
                <w:rFonts w:cs="仿宋_GB2312" w:asciiTheme="minorEastAsia" w:hAnsiTheme="minorEastAsia" w:eastAsiaTheme="minorEastAsia"/>
                <w:bCs/>
                <w:color w:val="auto"/>
                <w:kern w:val="2"/>
                <w:sz w:val="21"/>
                <w:szCs w:val="21"/>
                <w:highlight w:val="none"/>
              </w:rPr>
              <w:t>藏品搜索</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1" w:right="6"/>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可以根据指定条件对藏品进行搜索，如可以按藏品分类、藏品类别、来源方式、完残程度、保存状况、级别、质量范围、库房位置、年代等字段条件可以搜索藏品信息。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67"/>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征集管理</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ight="5"/>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包括线索录入，线索跟踪，征集录入，确认征集等。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67"/>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鉴定管理</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ight="5"/>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包括鉴定登记，鉴定管理及相关审批等功能等。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67"/>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编目管理</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ight="5"/>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包括了藏品编目，编目审批，藏品总账，复制品账等。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67"/>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藏品入库</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ight="5"/>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包括了入库申请，入库审批，藏品待入库，入库记录等。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67"/>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藏品提用</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ight="5"/>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提用申请，提用审批，提用待出库，提用待归库，提用异常单，提用记录等。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67"/>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藏品报损</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ight="5"/>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报损申请，报损审批，报损记录。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9</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67"/>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藏品注销</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ight="5"/>
              <w:rPr>
                <w:rFonts w:cs="仿宋_GB2312" w:asciiTheme="minorEastAsia" w:hAnsiTheme="minorEastAsia" w:eastAsiaTheme="minorEastAsia"/>
                <w:bCs/>
                <w:color w:val="auto"/>
                <w:kern w:val="2"/>
                <w:sz w:val="21"/>
                <w:szCs w:val="21"/>
                <w:highlight w:val="none"/>
              </w:rPr>
            </w:pPr>
            <w:r>
              <w:rPr>
                <w:rFonts w:cs="仿宋_GB2312" w:asciiTheme="minorEastAsia" w:hAnsiTheme="minorEastAsia" w:eastAsiaTheme="minorEastAsia"/>
                <w:bCs/>
                <w:color w:val="auto"/>
                <w:kern w:val="2"/>
                <w:sz w:val="21"/>
                <w:szCs w:val="21"/>
                <w:highlight w:val="none"/>
              </w:rPr>
              <w:t>注销申请，注销审批，注销待出库，注销记录等</w:t>
            </w:r>
            <w:r>
              <w:rPr>
                <w:rFonts w:hint="eastAsia" w:cs="仿宋_GB2312" w:asciiTheme="minorEastAsia" w:hAnsiTheme="minorEastAsia" w:eastAsiaTheme="minorEastAsia"/>
                <w:bCs/>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67"/>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藏品盘点</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ight="5"/>
              <w:rPr>
                <w:rFonts w:cs="仿宋_GB2312" w:asciiTheme="minorEastAsia" w:hAnsiTheme="minorEastAsia" w:eastAsiaTheme="minorEastAsia"/>
                <w:bCs/>
                <w:color w:val="auto"/>
                <w:kern w:val="2"/>
                <w:sz w:val="21"/>
                <w:szCs w:val="21"/>
                <w:highlight w:val="none"/>
              </w:rPr>
            </w:pPr>
            <w:r>
              <w:rPr>
                <w:rFonts w:cs="仿宋_GB2312" w:asciiTheme="minorEastAsia" w:hAnsiTheme="minorEastAsia" w:eastAsiaTheme="minorEastAsia"/>
                <w:bCs/>
                <w:color w:val="auto"/>
                <w:kern w:val="2"/>
                <w:sz w:val="21"/>
                <w:szCs w:val="21"/>
                <w:highlight w:val="none"/>
              </w:rPr>
              <w:t>盘点申请，盘点审批，盘点确认等</w:t>
            </w:r>
            <w:r>
              <w:rPr>
                <w:rFonts w:hint="eastAsia" w:cs="仿宋_GB2312" w:asciiTheme="minorEastAsia" w:hAnsiTheme="minorEastAsia" w:eastAsiaTheme="minorEastAsia"/>
                <w:bCs/>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11</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67"/>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展厅管理</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ight="5"/>
              <w:rPr>
                <w:rFonts w:cs="仿宋_GB2312" w:asciiTheme="minorEastAsia" w:hAnsiTheme="minorEastAsia" w:eastAsiaTheme="minorEastAsia"/>
                <w:bCs/>
                <w:color w:val="auto"/>
                <w:kern w:val="2"/>
                <w:sz w:val="21"/>
                <w:szCs w:val="21"/>
                <w:highlight w:val="none"/>
              </w:rPr>
            </w:pPr>
            <w:r>
              <w:rPr>
                <w:rFonts w:cs="仿宋_GB2312" w:asciiTheme="minorEastAsia" w:hAnsiTheme="minorEastAsia" w:eastAsiaTheme="minorEastAsia"/>
                <w:bCs/>
                <w:color w:val="auto"/>
                <w:kern w:val="2"/>
                <w:sz w:val="21"/>
                <w:szCs w:val="21"/>
                <w:highlight w:val="none"/>
              </w:rPr>
              <w:t>展厅藏品，展厅维护，文物巡查等</w:t>
            </w:r>
            <w:r>
              <w:rPr>
                <w:rFonts w:hint="eastAsia" w:cs="仿宋_GB2312" w:asciiTheme="minorEastAsia" w:hAnsiTheme="minorEastAsia" w:eastAsiaTheme="minorEastAsia"/>
                <w:bCs/>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12</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67"/>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库房管理</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ight="-29"/>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包括库房藏品管理，库房维护，移库管理，藏品寄存，库房日志等。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13</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67"/>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档案管理</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ight="-29"/>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包括档案编辑，档案归档等。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14</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67"/>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统计分析</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包括统计首页，属性统计表，增减统计表，提用统计表，库房统计表等趋势分析和对比分析。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15</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67"/>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权限管理</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包括了系统配置流程，用户管理，角色管理，部门管理，菜单管理，安全审计等。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16</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67"/>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系统工具</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包括了通知公告，操作日志，登录日志等。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17</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67"/>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系统故障维护</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提供 7*24 小时的请求响应服务。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18</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67"/>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咨询服务</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ight="5"/>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提供技术咨询等技术支持服务。包括系统管理的技术指导，协助客户做好备份计划，完善工作日志、制订操作手册等。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19</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67"/>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新版本升级服务</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定期对系统进行功能升级。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20</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right="-67"/>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系统优化调整服务</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对整个系统性能进行调整优化服务，以确保整个系统的安全、高效运行。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21</w:t>
            </w:r>
          </w:p>
        </w:tc>
        <w:tc>
          <w:tcPr>
            <w:tcW w:w="542" w:type="pct"/>
            <w:vMerge w:val="continue"/>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435" w:right="428"/>
              <w:jc w:val="center"/>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培训</w:t>
            </w:r>
          </w:p>
        </w:tc>
        <w:tc>
          <w:tcPr>
            <w:tcW w:w="3256" w:type="pct"/>
            <w:tcBorders>
              <w:top w:val="single" w:color="auto" w:sz="4" w:space="0"/>
              <w:left w:val="single" w:color="auto" w:sz="4" w:space="0"/>
              <w:bottom w:val="single" w:color="auto" w:sz="4" w:space="0"/>
              <w:right w:val="single" w:color="auto" w:sz="4" w:space="0"/>
            </w:tcBorders>
            <w:vAlign w:val="center"/>
          </w:tcPr>
          <w:p>
            <w:pPr>
              <w:pStyle w:val="17"/>
              <w:autoSpaceDE/>
              <w:autoSpaceDN/>
              <w:adjustRightInd/>
              <w:ind w:left="13"/>
              <w:rPr>
                <w:rFonts w:cs="仿宋_GB2312" w:asciiTheme="minorEastAsia" w:hAnsiTheme="minorEastAsia" w:eastAsiaTheme="minorEastAsia"/>
                <w:bCs/>
                <w:color w:val="auto"/>
                <w:kern w:val="2"/>
                <w:sz w:val="21"/>
                <w:szCs w:val="21"/>
                <w:highlight w:val="none"/>
              </w:rPr>
            </w:pPr>
            <w:r>
              <w:rPr>
                <w:rFonts w:hint="eastAsia" w:cs="仿宋_GB2312" w:asciiTheme="minorEastAsia" w:hAnsiTheme="minorEastAsia" w:eastAsiaTheme="minorEastAsia"/>
                <w:bCs/>
                <w:color w:val="auto"/>
                <w:kern w:val="2"/>
                <w:sz w:val="21"/>
                <w:szCs w:val="21"/>
                <w:highlight w:val="none"/>
              </w:rPr>
              <w:t>提供系统培训服务、培训资料等文件。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restart"/>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22</w:t>
            </w:r>
          </w:p>
        </w:tc>
        <w:tc>
          <w:tcPr>
            <w:tcW w:w="542" w:type="pct"/>
            <w:vMerge w:val="restart"/>
            <w:tcBorders>
              <w:top w:val="single" w:color="auto" w:sz="4" w:space="0"/>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技术需求</w:t>
            </w:r>
          </w:p>
        </w:tc>
        <w:tc>
          <w:tcPr>
            <w:tcW w:w="817"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基本需求</w:t>
            </w:r>
          </w:p>
        </w:tc>
        <w:tc>
          <w:tcPr>
            <w:tcW w:w="3256" w:type="pct"/>
            <w:tcBorders>
              <w:top w:val="single" w:color="auto" w:sz="4" w:space="0"/>
              <w:left w:val="single" w:color="auto" w:sz="4" w:space="0"/>
              <w:bottom w:val="single" w:color="auto" w:sz="4" w:space="0"/>
              <w:right w:val="single" w:color="auto" w:sz="4" w:space="0"/>
            </w:tcBorders>
            <w:vAlign w:val="center"/>
          </w:tcPr>
          <w:p>
            <w:pPr>
              <w:pStyle w:val="3"/>
              <w:numPr>
                <w:ilvl w:val="0"/>
                <w:numId w:val="1"/>
              </w:numPr>
              <w:ind w:left="360" w:hanging="360" w:firstLineChars="0"/>
              <w:rPr>
                <w:rFonts w:ascii="宋体" w:hAnsi="宋体" w:cs="宋体"/>
                <w:color w:val="auto"/>
                <w:szCs w:val="21"/>
                <w:highlight w:val="none"/>
              </w:rPr>
            </w:pPr>
            <w:r>
              <w:rPr>
                <w:rFonts w:hint="eastAsia" w:ascii="宋体" w:hAnsi="宋体" w:cs="宋体"/>
                <w:color w:val="auto"/>
                <w:szCs w:val="21"/>
                <w:highlight w:val="none"/>
              </w:rPr>
              <w:t>采用集群架构进行系统建设，能够覆盖集群所需的日志、</w:t>
            </w:r>
            <w:r>
              <w:rPr>
                <w:rFonts w:hint="eastAsia" w:ascii="宋体" w:hAnsi="宋体" w:cs="宋体"/>
                <w:color w:val="auto"/>
                <w:szCs w:val="21"/>
                <w:highlight w:val="none"/>
              </w:rPr>
              <w:t>监控、配置</w:t>
            </w:r>
            <w:r>
              <w:rPr>
                <w:rFonts w:hint="eastAsia" w:ascii="宋体" w:hAnsi="宋体" w:cs="宋体"/>
                <w:color w:val="auto"/>
                <w:szCs w:val="21"/>
                <w:highlight w:val="none"/>
              </w:rPr>
              <w:t>等功能需求。</w:t>
            </w:r>
          </w:p>
          <w:p>
            <w:pPr>
              <w:pStyle w:val="3"/>
              <w:numPr>
                <w:ilvl w:val="0"/>
                <w:numId w:val="1"/>
              </w:numPr>
              <w:ind w:left="360" w:hanging="360" w:firstLineChars="0"/>
              <w:rPr>
                <w:rFonts w:ascii="宋体" w:hAnsi="宋体" w:cs="宋体"/>
                <w:color w:val="auto"/>
                <w:szCs w:val="21"/>
                <w:highlight w:val="none"/>
              </w:rPr>
            </w:pPr>
            <w:r>
              <w:rPr>
                <w:rFonts w:hint="eastAsia" w:ascii="宋体" w:hAnsi="宋体" w:cs="宋体"/>
                <w:color w:val="auto"/>
                <w:szCs w:val="21"/>
                <w:highlight w:val="none"/>
              </w:rPr>
              <w:t>须按照数据库规范，对数据库进行设计。</w:t>
            </w:r>
          </w:p>
          <w:p>
            <w:pPr>
              <w:pStyle w:val="3"/>
              <w:numPr>
                <w:ilvl w:val="0"/>
                <w:numId w:val="1"/>
              </w:numPr>
              <w:ind w:left="360" w:hanging="360" w:firstLineChars="0"/>
              <w:rPr>
                <w:rFonts w:ascii="宋体" w:hAnsi="宋体" w:cs="宋体"/>
                <w:color w:val="auto"/>
                <w:szCs w:val="21"/>
                <w:highlight w:val="none"/>
              </w:rPr>
            </w:pPr>
            <w:r>
              <w:rPr>
                <w:rFonts w:hint="eastAsia" w:ascii="宋体" w:hAnsi="宋体" w:cs="宋体"/>
                <w:color w:val="auto"/>
                <w:szCs w:val="21"/>
                <w:highlight w:val="none"/>
              </w:rPr>
              <w:t>须满足可维护性，便于日常对系统功能进行优化升级。</w:t>
            </w:r>
          </w:p>
          <w:p>
            <w:pPr>
              <w:pStyle w:val="3"/>
              <w:numPr>
                <w:ilvl w:val="0"/>
                <w:numId w:val="1"/>
              </w:numPr>
              <w:ind w:left="360" w:hanging="360" w:firstLineChars="0"/>
              <w:rPr>
                <w:rFonts w:ascii="宋体" w:hAnsi="宋体" w:cs="宋体"/>
                <w:color w:val="auto"/>
                <w:szCs w:val="21"/>
                <w:highlight w:val="none"/>
              </w:rPr>
            </w:pPr>
            <w:r>
              <w:rPr>
                <w:rFonts w:hint="eastAsia" w:ascii="宋体" w:hAnsi="宋体" w:cs="宋体"/>
                <w:color w:val="auto"/>
                <w:szCs w:val="21"/>
                <w:highlight w:val="none"/>
              </w:rPr>
              <w:t>完成业务改造后的集成测试、安全测试及性能测试工作。</w:t>
            </w:r>
          </w:p>
          <w:p>
            <w:pPr>
              <w:pStyle w:val="3"/>
              <w:numPr>
                <w:ilvl w:val="0"/>
                <w:numId w:val="1"/>
              </w:numPr>
              <w:ind w:left="360" w:hanging="360" w:firstLineChars="0"/>
              <w:rPr>
                <w:rFonts w:ascii="宋体" w:hAnsi="宋体" w:cs="宋体"/>
                <w:color w:val="auto"/>
                <w:szCs w:val="21"/>
                <w:highlight w:val="none"/>
              </w:rPr>
            </w:pPr>
            <w:r>
              <w:rPr>
                <w:rFonts w:hint="eastAsia" w:ascii="宋体" w:hAnsi="宋体" w:cs="宋体"/>
                <w:color w:val="auto"/>
                <w:szCs w:val="21"/>
                <w:highlight w:val="none"/>
              </w:rPr>
              <w:t>须完成兼容外围系统的统一访问、组织架构和用户信息同步。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tcBorders>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542" w:type="pct"/>
            <w:vMerge w:val="continue"/>
            <w:tcBorders>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部署需求</w:t>
            </w:r>
          </w:p>
        </w:tc>
        <w:tc>
          <w:tcPr>
            <w:tcW w:w="3256" w:type="pct"/>
            <w:tcBorders>
              <w:top w:val="single" w:color="auto" w:sz="4" w:space="0"/>
              <w:left w:val="single" w:color="auto" w:sz="4" w:space="0"/>
              <w:bottom w:val="single" w:color="auto" w:sz="4" w:space="0"/>
              <w:right w:val="single" w:color="auto" w:sz="4" w:space="0"/>
            </w:tcBorders>
            <w:vAlign w:val="center"/>
          </w:tcPr>
          <w:p>
            <w:pPr>
              <w:pStyle w:val="3"/>
              <w:numPr>
                <w:ilvl w:val="0"/>
                <w:numId w:val="2"/>
              </w:numPr>
              <w:ind w:left="360" w:hanging="360" w:firstLineChars="0"/>
              <w:rPr>
                <w:rFonts w:ascii="宋体" w:hAnsi="宋体" w:cs="宋体"/>
                <w:color w:val="auto"/>
                <w:szCs w:val="21"/>
                <w:highlight w:val="none"/>
              </w:rPr>
            </w:pPr>
            <w:r>
              <w:rPr>
                <w:rFonts w:hint="eastAsia" w:ascii="宋体" w:hAnsi="宋体" w:cs="宋体"/>
                <w:color w:val="auto"/>
                <w:szCs w:val="21"/>
                <w:highlight w:val="none"/>
              </w:rPr>
              <w:t>客户端支持windows、统信、麒麟等主流操作系统，满足多种客户端浏览器的要求。</w:t>
            </w:r>
          </w:p>
          <w:p>
            <w:pPr>
              <w:pStyle w:val="3"/>
              <w:numPr>
                <w:ilvl w:val="0"/>
                <w:numId w:val="2"/>
              </w:numPr>
              <w:ind w:left="360" w:hanging="360" w:firstLineChars="0"/>
              <w:rPr>
                <w:rFonts w:ascii="宋体" w:hAnsi="宋体" w:cs="宋体"/>
                <w:color w:val="auto"/>
                <w:szCs w:val="21"/>
                <w:highlight w:val="none"/>
              </w:rPr>
            </w:pPr>
            <w:r>
              <w:rPr>
                <w:rFonts w:hint="eastAsia" w:ascii="宋体" w:hAnsi="宋体" w:cs="宋体"/>
                <w:color w:val="auto"/>
                <w:szCs w:val="21"/>
                <w:highlight w:val="none"/>
              </w:rPr>
              <w:t>服务端必须兼容ARM、X86等主流芯片，兼容统信、麒麟、LINUX系列等主流操作系统。</w:t>
            </w:r>
          </w:p>
          <w:p>
            <w:pPr>
              <w:pStyle w:val="3"/>
              <w:numPr>
                <w:ilvl w:val="0"/>
                <w:numId w:val="2"/>
              </w:numPr>
              <w:ind w:left="360" w:hanging="360" w:firstLineChars="0"/>
              <w:rPr>
                <w:rFonts w:ascii="宋体" w:hAnsi="宋体" w:cs="宋体"/>
                <w:color w:val="auto"/>
                <w:szCs w:val="21"/>
                <w:highlight w:val="none"/>
              </w:rPr>
            </w:pPr>
            <w:r>
              <w:rPr>
                <w:rFonts w:hint="eastAsia" w:ascii="宋体" w:hAnsi="宋体" w:cs="宋体"/>
                <w:color w:val="auto"/>
                <w:szCs w:val="21"/>
                <w:highlight w:val="none"/>
              </w:rPr>
              <w:t>数据库必须兼容腾讯云TDSQL、MYSQL等主流数据库。</w:t>
            </w:r>
          </w:p>
          <w:p>
            <w:pPr>
              <w:pStyle w:val="3"/>
              <w:numPr>
                <w:ilvl w:val="0"/>
                <w:numId w:val="2"/>
              </w:numPr>
              <w:ind w:left="360" w:hanging="360" w:firstLineChars="0"/>
              <w:rPr>
                <w:rFonts w:ascii="宋体" w:hAnsi="宋体" w:cs="宋体"/>
                <w:color w:val="auto"/>
                <w:szCs w:val="21"/>
                <w:highlight w:val="none"/>
              </w:rPr>
            </w:pPr>
            <w:r>
              <w:rPr>
                <w:rFonts w:hint="eastAsia" w:ascii="宋体" w:hAnsi="宋体" w:cs="宋体"/>
                <w:color w:val="auto"/>
                <w:szCs w:val="21"/>
                <w:highlight w:val="none"/>
              </w:rPr>
              <w:t>中间件（含负载、缓存及消息等）必须兼容国内外主流中间件产品，包括但不限于宝兰德、东方通及腾讯云中间件、TOMCAT等相关的产品。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tcBorders>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542" w:type="pct"/>
            <w:vMerge w:val="continue"/>
            <w:tcBorders>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r>
              <w:rPr>
                <w:rFonts w:hint="eastAsia"/>
                <w:color w:val="auto"/>
                <w:highlight w:val="none"/>
              </w:rPr>
              <w:t>性能需求</w:t>
            </w:r>
          </w:p>
        </w:tc>
        <w:tc>
          <w:tcPr>
            <w:tcW w:w="3256" w:type="pct"/>
            <w:tcBorders>
              <w:top w:val="single" w:color="auto" w:sz="4" w:space="0"/>
              <w:left w:val="single" w:color="auto" w:sz="4" w:space="0"/>
              <w:bottom w:val="single" w:color="auto" w:sz="4" w:space="0"/>
              <w:right w:val="single" w:color="auto" w:sz="4" w:space="0"/>
            </w:tcBorders>
            <w:vAlign w:val="center"/>
          </w:tcPr>
          <w:p>
            <w:pPr>
              <w:pStyle w:val="3"/>
              <w:numPr>
                <w:ilvl w:val="0"/>
                <w:numId w:val="3"/>
              </w:numPr>
              <w:ind w:left="360" w:hanging="360" w:firstLineChars="0"/>
              <w:rPr>
                <w:rFonts w:ascii="宋体" w:hAnsi="宋体" w:cs="宋体"/>
                <w:color w:val="auto"/>
                <w:szCs w:val="21"/>
                <w:highlight w:val="none"/>
              </w:rPr>
            </w:pPr>
            <w:r>
              <w:rPr>
                <w:rFonts w:hint="eastAsia" w:ascii="宋体" w:hAnsi="宋体" w:cs="宋体"/>
                <w:color w:val="auto"/>
                <w:szCs w:val="21"/>
                <w:highlight w:val="none"/>
              </w:rPr>
              <w:t>能够快速响应系统检索，系统平均响应时间需在1.5秒内</w:t>
            </w:r>
            <w:r>
              <w:rPr>
                <w:rFonts w:hint="eastAsia" w:ascii="宋体" w:hAnsi="宋体" w:cs="宋体"/>
                <w:color w:val="auto"/>
                <w:szCs w:val="21"/>
                <w:highlight w:val="none"/>
              </w:rPr>
              <w:t>。</w:t>
            </w:r>
          </w:p>
          <w:p>
            <w:pPr>
              <w:pStyle w:val="3"/>
              <w:numPr>
                <w:ilvl w:val="0"/>
                <w:numId w:val="3"/>
              </w:numPr>
              <w:ind w:left="360" w:hanging="360" w:firstLineChars="0"/>
              <w:rPr>
                <w:rFonts w:ascii="宋体" w:hAnsi="宋体" w:cs="宋体"/>
                <w:color w:val="auto"/>
                <w:szCs w:val="21"/>
                <w:highlight w:val="none"/>
              </w:rPr>
            </w:pPr>
            <w:r>
              <w:rPr>
                <w:rFonts w:hint="eastAsia" w:ascii="宋体" w:hAnsi="宋体" w:cs="宋体"/>
                <w:color w:val="auto"/>
                <w:szCs w:val="21"/>
                <w:highlight w:val="none"/>
              </w:rPr>
              <w:t>支持不少于30</w:t>
            </w:r>
            <w:r>
              <w:rPr>
                <w:rFonts w:ascii="宋体" w:hAnsi="宋体" w:cs="宋体"/>
                <w:color w:val="auto"/>
                <w:szCs w:val="21"/>
                <w:highlight w:val="none"/>
              </w:rPr>
              <w:t>0</w:t>
            </w:r>
            <w:r>
              <w:rPr>
                <w:rFonts w:hint="eastAsia" w:ascii="宋体" w:hAnsi="宋体" w:cs="宋体"/>
                <w:color w:val="auto"/>
                <w:szCs w:val="21"/>
                <w:highlight w:val="none"/>
              </w:rPr>
              <w:t>人同时在线，支持不少于</w:t>
            </w:r>
            <w:r>
              <w:rPr>
                <w:rFonts w:hint="eastAsia" w:ascii="宋体" w:hAnsi="宋体" w:cs="宋体"/>
                <w:color w:val="auto"/>
                <w:szCs w:val="21"/>
                <w:highlight w:val="none"/>
              </w:rPr>
              <w:t>30</w:t>
            </w:r>
            <w:r>
              <w:rPr>
                <w:rFonts w:hint="eastAsia" w:ascii="宋体" w:hAnsi="宋体" w:cs="宋体"/>
                <w:color w:val="auto"/>
                <w:szCs w:val="21"/>
                <w:highlight w:val="none"/>
              </w:rPr>
              <w:t>个用户并发。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tcBorders>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542" w:type="pct"/>
            <w:vMerge w:val="continue"/>
            <w:tcBorders>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安全需求</w:t>
            </w:r>
          </w:p>
        </w:tc>
        <w:tc>
          <w:tcPr>
            <w:tcW w:w="3256" w:type="pct"/>
            <w:tcBorders>
              <w:top w:val="single" w:color="auto" w:sz="4" w:space="0"/>
              <w:left w:val="single" w:color="auto" w:sz="4" w:space="0"/>
              <w:bottom w:val="single" w:color="auto" w:sz="4" w:space="0"/>
              <w:right w:val="single" w:color="auto" w:sz="4" w:space="0"/>
            </w:tcBorders>
            <w:vAlign w:val="center"/>
          </w:tcPr>
          <w:p>
            <w:pPr>
              <w:pStyle w:val="3"/>
              <w:numPr>
                <w:ilvl w:val="0"/>
                <w:numId w:val="4"/>
              </w:numPr>
              <w:ind w:left="360" w:hanging="360" w:firstLineChars="0"/>
              <w:rPr>
                <w:rFonts w:ascii="宋体" w:hAnsi="宋体" w:cs="宋体"/>
                <w:color w:val="auto"/>
                <w:szCs w:val="21"/>
                <w:highlight w:val="none"/>
              </w:rPr>
            </w:pPr>
            <w:r>
              <w:rPr>
                <w:rFonts w:hint="eastAsia" w:ascii="宋体" w:hAnsi="宋体" w:cs="宋体"/>
                <w:color w:val="auto"/>
                <w:szCs w:val="21"/>
                <w:highlight w:val="none"/>
              </w:rPr>
              <w:t>系统应具有较高的可靠性和稳定性，满足7×24小时连续不间断运行需要。</w:t>
            </w:r>
          </w:p>
          <w:p>
            <w:pPr>
              <w:pStyle w:val="3"/>
              <w:numPr>
                <w:ilvl w:val="0"/>
                <w:numId w:val="4"/>
              </w:numPr>
              <w:ind w:left="360" w:hanging="360" w:firstLineChars="0"/>
              <w:rPr>
                <w:rFonts w:ascii="宋体" w:hAnsi="宋体" w:cs="宋体"/>
                <w:color w:val="auto"/>
                <w:szCs w:val="21"/>
                <w:highlight w:val="none"/>
              </w:rPr>
            </w:pPr>
            <w:r>
              <w:rPr>
                <w:rFonts w:hint="eastAsia" w:ascii="宋体" w:hAnsi="宋体" w:cs="宋体"/>
                <w:color w:val="auto"/>
                <w:szCs w:val="21"/>
                <w:highlight w:val="none"/>
              </w:rPr>
              <w:t>具有多级安全保密、权限管控机制，确保数据准确、安全。</w:t>
            </w:r>
          </w:p>
          <w:p>
            <w:pPr>
              <w:pStyle w:val="3"/>
              <w:numPr>
                <w:ilvl w:val="0"/>
                <w:numId w:val="4"/>
              </w:numPr>
              <w:ind w:left="360" w:hanging="360" w:firstLineChars="0"/>
              <w:rPr>
                <w:rFonts w:ascii="宋体" w:hAnsi="宋体" w:cs="宋体"/>
                <w:color w:val="auto"/>
                <w:szCs w:val="21"/>
                <w:highlight w:val="none"/>
              </w:rPr>
            </w:pPr>
            <w:r>
              <w:rPr>
                <w:rFonts w:hint="eastAsia" w:ascii="宋体" w:hAnsi="宋体" w:cs="宋体"/>
                <w:color w:val="auto"/>
                <w:szCs w:val="21"/>
                <w:highlight w:val="none"/>
              </w:rPr>
              <w:t>系统提供高效可靠的数据备份方法及快速完整的数据恢复功能，对操作员的各种操作情况进行监控和记录，保留完整的日志。</w:t>
            </w:r>
          </w:p>
          <w:p>
            <w:pPr>
              <w:pStyle w:val="3"/>
              <w:numPr>
                <w:ilvl w:val="0"/>
                <w:numId w:val="4"/>
              </w:numPr>
              <w:ind w:left="360" w:hanging="360" w:firstLineChars="0"/>
              <w:rPr>
                <w:color w:val="auto"/>
                <w:highlight w:val="none"/>
              </w:rPr>
            </w:pPr>
            <w:r>
              <w:rPr>
                <w:rFonts w:hint="eastAsia" w:ascii="宋体" w:hAnsi="宋体" w:cs="宋体"/>
                <w:color w:val="auto"/>
                <w:szCs w:val="21"/>
                <w:highlight w:val="none"/>
              </w:rPr>
              <w:t>系统在设计上充分考虑到各种紧急情况，有完善的应急处理措施。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tcBorders>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542" w:type="pct"/>
            <w:vMerge w:val="continue"/>
            <w:tcBorders>
              <w:left w:val="single" w:color="auto" w:sz="4" w:space="0"/>
              <w:right w:val="single" w:color="auto" w:sz="4" w:space="0"/>
            </w:tcBorders>
            <w:vAlign w:val="center"/>
          </w:tcPr>
          <w:p>
            <w:pPr>
              <w:jc w:val="center"/>
              <w:rPr>
                <w:rFonts w:cs="仿宋_GB2312" w:asciiTheme="minorEastAsia" w:hAnsiTheme="minorEastAsia" w:eastAsiaTheme="minorEastAsia"/>
                <w:color w:val="auto"/>
                <w:szCs w:val="21"/>
                <w:highlight w:val="none"/>
              </w:rPr>
            </w:pPr>
          </w:p>
        </w:tc>
        <w:tc>
          <w:tcPr>
            <w:tcW w:w="817" w:type="pct"/>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其他需求</w:t>
            </w:r>
          </w:p>
        </w:tc>
        <w:tc>
          <w:tcPr>
            <w:tcW w:w="3256" w:type="pct"/>
            <w:tcBorders>
              <w:top w:val="single" w:color="auto" w:sz="4" w:space="0"/>
              <w:left w:val="single" w:color="auto" w:sz="4" w:space="0"/>
              <w:bottom w:val="single" w:color="auto" w:sz="4" w:space="0"/>
              <w:right w:val="single" w:color="auto" w:sz="4" w:space="0"/>
            </w:tcBorders>
            <w:vAlign w:val="center"/>
          </w:tcPr>
          <w:p>
            <w:pPr>
              <w:pStyle w:val="3"/>
              <w:numPr>
                <w:ilvl w:val="0"/>
                <w:numId w:val="5"/>
              </w:numPr>
              <w:ind w:left="360" w:hanging="360" w:firstLineChars="0"/>
              <w:rPr>
                <w:rFonts w:ascii="宋体" w:hAnsi="宋体" w:cs="宋体"/>
                <w:color w:val="auto"/>
                <w:szCs w:val="21"/>
                <w:highlight w:val="none"/>
              </w:rPr>
            </w:pPr>
            <w:r>
              <w:rPr>
                <w:rFonts w:hint="eastAsia" w:ascii="宋体" w:hAnsi="宋体" w:cs="宋体"/>
                <w:color w:val="auto"/>
                <w:szCs w:val="21"/>
                <w:highlight w:val="none"/>
              </w:rPr>
              <w:t>系统支持多法人及总-分-支架构。</w:t>
            </w:r>
          </w:p>
          <w:p>
            <w:pPr>
              <w:pStyle w:val="3"/>
              <w:numPr>
                <w:ilvl w:val="0"/>
                <w:numId w:val="5"/>
              </w:numPr>
              <w:ind w:left="360" w:hanging="360" w:firstLineChars="0"/>
              <w:rPr>
                <w:rFonts w:ascii="宋体" w:hAnsi="宋体" w:cs="宋体"/>
                <w:color w:val="auto"/>
                <w:szCs w:val="21"/>
                <w:highlight w:val="none"/>
              </w:rPr>
            </w:pPr>
            <w:r>
              <w:rPr>
                <w:rFonts w:hint="eastAsia" w:ascii="宋体" w:hAnsi="宋体" w:cs="宋体"/>
                <w:color w:val="auto"/>
                <w:szCs w:val="21"/>
                <w:highlight w:val="none"/>
              </w:rPr>
              <w:t>系统支持双活灾备架构。</w:t>
            </w:r>
          </w:p>
          <w:p>
            <w:pPr>
              <w:pStyle w:val="3"/>
              <w:numPr>
                <w:ilvl w:val="0"/>
                <w:numId w:val="5"/>
              </w:numPr>
              <w:ind w:left="360" w:hanging="360" w:firstLineChars="0"/>
              <w:rPr>
                <w:color w:val="auto"/>
                <w:highlight w:val="none"/>
              </w:rPr>
            </w:pPr>
            <w:r>
              <w:rPr>
                <w:rFonts w:hint="eastAsia" w:ascii="宋体" w:hAnsi="宋体" w:cs="宋体"/>
                <w:color w:val="auto"/>
                <w:szCs w:val="21"/>
                <w:highlight w:val="none"/>
              </w:rPr>
              <w:t>支持国内外主流数据加密技术等安全技术功能，涉及敏感信息的传输与存储必须加密。</w:t>
            </w:r>
          </w:p>
          <w:p>
            <w:pPr>
              <w:pStyle w:val="3"/>
              <w:numPr>
                <w:ilvl w:val="0"/>
                <w:numId w:val="5"/>
              </w:numPr>
              <w:ind w:left="360" w:hanging="360" w:firstLineChars="0"/>
              <w:rPr>
                <w:color w:val="auto"/>
                <w:highlight w:val="none"/>
              </w:rPr>
            </w:pPr>
            <w:r>
              <w:rPr>
                <w:rFonts w:hint="eastAsia" w:ascii="宋体" w:hAnsi="宋体" w:cs="宋体"/>
                <w:color w:val="auto"/>
                <w:szCs w:val="21"/>
                <w:highlight w:val="none"/>
                <w:lang w:val="en-US" w:eastAsia="zh-CN"/>
              </w:rPr>
              <w:t>系统制定化源代码必须提供，系统其他（含产品基本平台、核心功能等）源代码尽量提供。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3"/>
            <w:tcBorders>
              <w:left w:val="single" w:color="auto" w:sz="4" w:space="0"/>
              <w:bottom w:val="single" w:color="auto" w:sz="4" w:space="0"/>
              <w:right w:val="single" w:color="auto" w:sz="4" w:space="0"/>
            </w:tcBorders>
            <w:vAlign w:val="center"/>
          </w:tcPr>
          <w:p>
            <w:pPr>
              <w:widowControl/>
              <w:spacing w:line="360" w:lineRule="auto"/>
              <w:jc w:val="center"/>
              <w:rPr>
                <w:color w:val="auto"/>
                <w:highlight w:val="none"/>
              </w:rPr>
            </w:pPr>
            <w:r>
              <w:rPr>
                <w:rFonts w:hint="eastAsia" w:ascii="宋体" w:hAnsi="宋体" w:cs="宋体"/>
                <w:color w:val="auto"/>
                <w:kern w:val="0"/>
                <w:szCs w:val="21"/>
                <w:highlight w:val="none"/>
              </w:rPr>
              <w:t>产品授权</w:t>
            </w:r>
          </w:p>
        </w:tc>
        <w:tc>
          <w:tcPr>
            <w:tcW w:w="325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系统的使用不得存在任何限制使用的条件，包括但不限于设置licenses限制部署的机器、限制使用的CPU数量、限制使用的用户数量及信息系统接入的数量等影响系统重新部署或横向扩展的条件。</w:t>
            </w:r>
          </w:p>
        </w:tc>
      </w:tr>
    </w:tbl>
    <w:p>
      <w:pPr>
        <w:pStyle w:val="6"/>
        <w:spacing w:after="0" w:line="360" w:lineRule="auto"/>
        <w:rPr>
          <w:rFonts w:cs="宋体" w:asciiTheme="minorEastAsia" w:hAnsiTheme="minorEastAsia" w:eastAsiaTheme="minorEastAsia"/>
          <w:color w:val="auto"/>
          <w:szCs w:val="21"/>
          <w:highlight w:val="none"/>
        </w:rPr>
      </w:pPr>
    </w:p>
    <w:p>
      <w:pPr>
        <w:spacing w:line="360" w:lineRule="auto"/>
        <w:rPr>
          <w:rFonts w:ascii="宋体" w:hAnsi="宋体" w:cs="宋体"/>
          <w:b/>
          <w:bCs/>
          <w:color w:val="auto"/>
          <w:szCs w:val="21"/>
          <w:highlight w:val="none"/>
        </w:rPr>
      </w:pPr>
      <w:r>
        <w:rPr>
          <w:rFonts w:hint="eastAsia" w:ascii="宋体" w:hAnsi="宋体"/>
          <w:b/>
          <w:bCs/>
          <w:color w:val="auto"/>
          <w:szCs w:val="21"/>
          <w:highlight w:val="none"/>
        </w:rPr>
        <w:t>四、</w:t>
      </w:r>
      <w:r>
        <w:rPr>
          <w:rFonts w:hint="eastAsia" w:ascii="宋体" w:hAnsi="宋体" w:cs="宋体"/>
          <w:b/>
          <w:bCs/>
          <w:color w:val="auto"/>
          <w:szCs w:val="21"/>
          <w:highlight w:val="none"/>
        </w:rPr>
        <w:t>项目总体服务要求</w:t>
      </w:r>
    </w:p>
    <w:p>
      <w:pPr>
        <w:spacing w:line="360" w:lineRule="auto"/>
        <w:ind w:firstLine="422" w:firstLineChars="200"/>
        <w:rPr>
          <w:rFonts w:cs="楷体_GB2312" w:asciiTheme="minorEastAsia" w:hAnsiTheme="minorEastAsia" w:eastAsiaTheme="minorEastAsia"/>
          <w:b/>
          <w:bCs/>
          <w:color w:val="auto"/>
          <w:kern w:val="28"/>
          <w:szCs w:val="21"/>
          <w:highlight w:val="none"/>
        </w:rPr>
      </w:pPr>
      <w:r>
        <w:rPr>
          <w:rFonts w:hint="eastAsia" w:cs="楷体_GB2312" w:asciiTheme="minorEastAsia" w:hAnsiTheme="minorEastAsia" w:eastAsiaTheme="minorEastAsia"/>
          <w:b/>
          <w:bCs/>
          <w:color w:val="auto"/>
          <w:kern w:val="28"/>
          <w:szCs w:val="21"/>
          <w:highlight w:val="none"/>
        </w:rPr>
        <w:t>（一）维保服务期</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项目免费维护期1年，免费维护期自项目终验之日起1年。</w:t>
      </w:r>
    </w:p>
    <w:p>
      <w:pPr>
        <w:spacing w:line="360" w:lineRule="auto"/>
        <w:ind w:firstLine="422" w:firstLineChars="200"/>
        <w:rPr>
          <w:rFonts w:cs="楷体_GB2312" w:asciiTheme="minorEastAsia" w:hAnsiTheme="minorEastAsia" w:eastAsiaTheme="minorEastAsia"/>
          <w:b/>
          <w:bCs/>
          <w:color w:val="auto"/>
          <w:kern w:val="28"/>
          <w:szCs w:val="21"/>
          <w:highlight w:val="none"/>
        </w:rPr>
      </w:pPr>
      <w:r>
        <w:rPr>
          <w:rFonts w:hint="eastAsia" w:cs="楷体_GB2312" w:asciiTheme="minorEastAsia" w:hAnsiTheme="minorEastAsia" w:eastAsiaTheme="minorEastAsia"/>
          <w:b/>
          <w:bCs/>
          <w:color w:val="auto"/>
          <w:kern w:val="28"/>
          <w:szCs w:val="21"/>
          <w:highlight w:val="none"/>
        </w:rPr>
        <w:t>（二）服务说明</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所有服务内容必须由原厂提供，供应商不得将本项目的全部或部分转包给第三方。</w:t>
      </w:r>
    </w:p>
    <w:p>
      <w:pPr>
        <w:spacing w:line="360" w:lineRule="auto"/>
        <w:ind w:firstLine="422" w:firstLineChars="200"/>
        <w:rPr>
          <w:rFonts w:cs="楷体_GB2312" w:asciiTheme="minorEastAsia" w:hAnsiTheme="minorEastAsia" w:eastAsiaTheme="minorEastAsia"/>
          <w:b/>
          <w:bCs/>
          <w:color w:val="auto"/>
          <w:kern w:val="28"/>
          <w:szCs w:val="21"/>
          <w:highlight w:val="none"/>
        </w:rPr>
      </w:pPr>
      <w:r>
        <w:rPr>
          <w:rFonts w:hint="eastAsia" w:cs="楷体_GB2312" w:asciiTheme="minorEastAsia" w:hAnsiTheme="minorEastAsia" w:eastAsiaTheme="minorEastAsia"/>
          <w:b/>
          <w:bCs/>
          <w:color w:val="auto"/>
          <w:kern w:val="28"/>
          <w:szCs w:val="21"/>
          <w:highlight w:val="none"/>
        </w:rPr>
        <w:t>（三）服务内容</w:t>
      </w:r>
    </w:p>
    <w:p>
      <w:pPr>
        <w:numPr>
          <w:ilvl w:val="0"/>
          <w:numId w:val="6"/>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项目咨询与实施服务。供应商按照公告方项目需求进行项目实施工作，包括但不限于系统咨询、需求分析、系统设计、开发、测试、上线、培训等，满足公告方对项目上线运行的要求。</w:t>
      </w:r>
    </w:p>
    <w:p>
      <w:pPr>
        <w:numPr>
          <w:ilvl w:val="0"/>
          <w:numId w:val="6"/>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常规维保服务。包括保障软件正常运行、保障公告方业务稳定的所有服务。</w:t>
      </w:r>
    </w:p>
    <w:p>
      <w:pPr>
        <w:numPr>
          <w:ilvl w:val="0"/>
          <w:numId w:val="6"/>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巡检服务。提供每年4次现场巡检服务，具体巡检时间由公告方确定。巡检须派经验丰富的原厂工程师进行预防性检查维护，对系统运行状态、性能、日志、数据库、存储空间等进行检查，分析系统告警信息并提出整改方案，按公告方要求出具巡检报告、整改方案等文档并协助整改实施。</w:t>
      </w:r>
    </w:p>
    <w:p>
      <w:pPr>
        <w:numPr>
          <w:ilvl w:val="0"/>
          <w:numId w:val="6"/>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升级服务。针对产品缺陷或根据公告方要求为软件免费升级和补丁更新，保证公告方能够及时获得相关服务和技术文档的更新。技术文档包括操作手册、产品说明、系统架构、应急处理、规章制度等。如产品出现重大缺陷时，须主动告知公告方升级或应对措施。</w:t>
      </w:r>
    </w:p>
    <w:p>
      <w:pPr>
        <w:numPr>
          <w:ilvl w:val="0"/>
          <w:numId w:val="6"/>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咨询服务。提供上表描述的系统咨询服务，公告方可随时向供应商或原厂进行技术咨询。</w:t>
      </w:r>
    </w:p>
    <w:p>
      <w:pPr>
        <w:numPr>
          <w:ilvl w:val="0"/>
          <w:numId w:val="6"/>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应急服务。提供每周7×24小时专人应急服务电话。</w:t>
      </w:r>
    </w:p>
    <w:p>
      <w:pPr>
        <w:numPr>
          <w:ilvl w:val="0"/>
          <w:numId w:val="6"/>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现场服务。按需提供技术人员现场支援的服务。工程师要保持相对的稳定性。在公告方场所工作时，技术人员应遵守公告方相应的规章制度。</w:t>
      </w:r>
    </w:p>
    <w:p>
      <w:pPr>
        <w:numPr>
          <w:ilvl w:val="0"/>
          <w:numId w:val="6"/>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系统迁移服务。服务期内，如公告方有系统迁移需求，供应商有义务根据公告方要求提供优选迁移建议服务，如有必要供应商到达公告方项目现场提供协助。</w:t>
      </w:r>
    </w:p>
    <w:p>
      <w:pPr>
        <w:spacing w:line="360" w:lineRule="auto"/>
        <w:rPr>
          <w:rFonts w:ascii="宋体" w:hAnsi="宋体"/>
          <w:b/>
          <w:bCs/>
          <w:color w:val="auto"/>
          <w:szCs w:val="21"/>
          <w:highlight w:val="none"/>
        </w:rPr>
      </w:pPr>
      <w:r>
        <w:rPr>
          <w:rFonts w:hint="eastAsia" w:ascii="宋体" w:hAnsi="宋体"/>
          <w:b/>
          <w:bCs/>
          <w:color w:val="auto"/>
          <w:szCs w:val="21"/>
          <w:highlight w:val="none"/>
        </w:rPr>
        <w:t>五、供应商要求</w:t>
      </w:r>
    </w:p>
    <w:p>
      <w:pPr>
        <w:numPr>
          <w:ilvl w:val="0"/>
          <w:numId w:val="7"/>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供应商具备独立法人资格。</w:t>
      </w:r>
    </w:p>
    <w:p>
      <w:pPr>
        <w:numPr>
          <w:ilvl w:val="0"/>
          <w:numId w:val="7"/>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供应商指具备系统开发能力的公司</w:t>
      </w:r>
    </w:p>
    <w:p>
      <w:pPr>
        <w:numPr>
          <w:ilvl w:val="0"/>
          <w:numId w:val="7"/>
        </w:num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供应商按以下要求提供的产品建设案例业绩：</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供应商在2020年1月1日后，至少有1个与符合相关博物馆</w:t>
      </w:r>
      <w:r>
        <w:rPr>
          <w:rFonts w:hint="eastAsia" w:ascii="宋体" w:hAnsi="宋体" w:cs="宋体"/>
          <w:color w:val="auto"/>
          <w:szCs w:val="21"/>
          <w:highlight w:val="none"/>
        </w:rPr>
        <w:t>藏品管理</w:t>
      </w:r>
      <w:r>
        <w:rPr>
          <w:rFonts w:hint="eastAsia" w:cs="仿宋_GB2312" w:asciiTheme="minorEastAsia" w:hAnsiTheme="minorEastAsia" w:eastAsiaTheme="minorEastAsia"/>
          <w:color w:val="auto"/>
          <w:szCs w:val="21"/>
          <w:highlight w:val="none"/>
        </w:rPr>
        <w:t>系统实施案例。</w:t>
      </w:r>
    </w:p>
    <w:p>
      <w:pPr>
        <w:numPr>
          <w:ilvl w:val="0"/>
          <w:numId w:val="7"/>
        </w:numPr>
        <w:spacing w:line="360" w:lineRule="auto"/>
        <w:ind w:firstLine="420" w:firstLineChars="200"/>
        <w:rPr>
          <w:rFonts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color w:val="auto"/>
          <w:szCs w:val="21"/>
          <w:highlight w:val="none"/>
        </w:rPr>
        <w:t>上述相关证明材料在递交反馈《</w:t>
      </w:r>
      <w:r>
        <w:rPr>
          <w:rFonts w:hint="eastAsia" w:cs="仿宋_GB2312" w:asciiTheme="minorEastAsia" w:hAnsiTheme="minorEastAsia" w:eastAsiaTheme="minorEastAsia"/>
          <w:bCs/>
          <w:color w:val="auto"/>
          <w:szCs w:val="21"/>
          <w:highlight w:val="none"/>
        </w:rPr>
        <w:t>东莞农村商业银行藏品管理系统建设项目</w:t>
      </w:r>
      <w:r>
        <w:rPr>
          <w:rFonts w:hint="eastAsia" w:cs="仿宋_GB2312" w:asciiTheme="minorEastAsia" w:hAnsiTheme="minorEastAsia" w:eastAsiaTheme="minorEastAsia"/>
          <w:color w:val="auto"/>
          <w:szCs w:val="21"/>
          <w:highlight w:val="none"/>
        </w:rPr>
        <w:t>市场调研记录表》时应提供上述相关证明材料的复印件加盖供应商公章的扫描件。</w:t>
      </w:r>
    </w:p>
    <w:p>
      <w:pPr>
        <w:tabs>
          <w:tab w:val="left" w:pos="0"/>
        </w:tabs>
        <w:spacing w:line="360" w:lineRule="auto"/>
        <w:ind w:left="105" w:leftChars="50" w:firstLine="420" w:firstLineChars="200"/>
        <w:rPr>
          <w:rFonts w:cs="仿宋_GB2312" w:asciiTheme="minorEastAsia" w:hAnsiTheme="minorEastAsia" w:eastAsiaTheme="minorEastAsia"/>
          <w:color w:val="auto"/>
          <w:szCs w:val="21"/>
          <w:highlight w:val="none"/>
        </w:rPr>
      </w:pPr>
    </w:p>
    <w:p>
      <w:pPr>
        <w:rPr>
          <w:color w:val="auto"/>
          <w:highlight w:val="none"/>
        </w:rPr>
      </w:pPr>
    </w:p>
    <w:sectPr>
      <w:footerReference r:id="rId3"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801739"/>
    </w:sdtPr>
    <w:sdtContent>
      <w:p>
        <w:pPr>
          <w:pStyle w:val="8"/>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550A4"/>
    <w:multiLevelType w:val="singleLevel"/>
    <w:tmpl w:val="8F4550A4"/>
    <w:lvl w:ilvl="0" w:tentative="0">
      <w:start w:val="1"/>
      <w:numFmt w:val="decimal"/>
      <w:lvlText w:val="%1."/>
      <w:lvlJc w:val="left"/>
      <w:pPr>
        <w:tabs>
          <w:tab w:val="left" w:pos="0"/>
        </w:tabs>
        <w:ind w:left="0" w:firstLine="0"/>
      </w:pPr>
      <w:rPr>
        <w:rFonts w:hint="default"/>
        <w:b w:val="0"/>
        <w:bCs w:val="0"/>
      </w:rPr>
    </w:lvl>
  </w:abstractNum>
  <w:abstractNum w:abstractNumId="1">
    <w:nsid w:val="B1BCCC58"/>
    <w:multiLevelType w:val="singleLevel"/>
    <w:tmpl w:val="B1BCCC58"/>
    <w:lvl w:ilvl="0" w:tentative="0">
      <w:start w:val="1"/>
      <w:numFmt w:val="decimal"/>
      <w:lvlText w:val="%1."/>
      <w:lvlJc w:val="left"/>
      <w:pPr>
        <w:ind w:left="425" w:hanging="425"/>
      </w:pPr>
      <w:rPr>
        <w:rFonts w:hint="default"/>
      </w:rPr>
    </w:lvl>
  </w:abstractNum>
  <w:abstractNum w:abstractNumId="2">
    <w:nsid w:val="BDFCFC32"/>
    <w:multiLevelType w:val="singleLevel"/>
    <w:tmpl w:val="BDFCFC32"/>
    <w:lvl w:ilvl="0" w:tentative="0">
      <w:start w:val="1"/>
      <w:numFmt w:val="decimal"/>
      <w:lvlText w:val="%1."/>
      <w:lvlJc w:val="left"/>
      <w:pPr>
        <w:ind w:left="425" w:hanging="425"/>
      </w:pPr>
      <w:rPr>
        <w:rFonts w:hint="default"/>
      </w:rPr>
    </w:lvl>
  </w:abstractNum>
  <w:abstractNum w:abstractNumId="3">
    <w:nsid w:val="F3DEBA44"/>
    <w:multiLevelType w:val="singleLevel"/>
    <w:tmpl w:val="F3DEBA44"/>
    <w:lvl w:ilvl="0" w:tentative="0">
      <w:start w:val="1"/>
      <w:numFmt w:val="decimal"/>
      <w:lvlText w:val="%1."/>
      <w:lvlJc w:val="left"/>
      <w:pPr>
        <w:tabs>
          <w:tab w:val="left" w:pos="0"/>
        </w:tabs>
        <w:ind w:left="0" w:firstLine="0"/>
      </w:pPr>
    </w:lvl>
  </w:abstractNum>
  <w:abstractNum w:abstractNumId="4">
    <w:nsid w:val="F5F4F09B"/>
    <w:multiLevelType w:val="singleLevel"/>
    <w:tmpl w:val="F5F4F09B"/>
    <w:lvl w:ilvl="0" w:tentative="0">
      <w:start w:val="1"/>
      <w:numFmt w:val="decimal"/>
      <w:lvlText w:val="%1."/>
      <w:lvlJc w:val="left"/>
      <w:pPr>
        <w:ind w:left="425" w:hanging="425"/>
      </w:pPr>
      <w:rPr>
        <w:rFonts w:hint="default"/>
      </w:rPr>
    </w:lvl>
  </w:abstractNum>
  <w:abstractNum w:abstractNumId="5">
    <w:nsid w:val="FFBE34F1"/>
    <w:multiLevelType w:val="singleLevel"/>
    <w:tmpl w:val="FFBE34F1"/>
    <w:lvl w:ilvl="0" w:tentative="0">
      <w:start w:val="1"/>
      <w:numFmt w:val="decimal"/>
      <w:lvlText w:val="%1."/>
      <w:lvlJc w:val="left"/>
      <w:pPr>
        <w:ind w:left="425" w:hanging="425"/>
      </w:pPr>
      <w:rPr>
        <w:rFonts w:hint="default"/>
      </w:rPr>
    </w:lvl>
  </w:abstractNum>
  <w:abstractNum w:abstractNumId="6">
    <w:nsid w:val="27096534"/>
    <w:multiLevelType w:val="singleLevel"/>
    <w:tmpl w:val="27096534"/>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2"/>
  </w:num>
  <w:num w:numId="4">
    <w:abstractNumId w:val="6"/>
  </w:num>
  <w:num w:numId="5">
    <w:abstractNumId w:val="1"/>
  </w:num>
  <w:num w:numId="6">
    <w:abstractNumId w:val="3"/>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ZmI1MmVmMGUzZmU4YzE4MDE4M2JlNzA5YjY2OTkifQ=="/>
    <w:docVar w:name="DocumentID" w:val="{6858AC11-7204-4A4F-8C6D-789A639DA335}"/>
    <w:docVar w:name="DocumentName" w:val="关于举办“‘医’瞬间 心跳的感觉”2023年青年趣味主题联谊活动的通知"/>
  </w:docVars>
  <w:rsids>
    <w:rsidRoot w:val="009F2FB4"/>
    <w:rsid w:val="00001E5D"/>
    <w:rsid w:val="00041D24"/>
    <w:rsid w:val="00066DDF"/>
    <w:rsid w:val="00074E30"/>
    <w:rsid w:val="000758EF"/>
    <w:rsid w:val="000B09A1"/>
    <w:rsid w:val="000D3882"/>
    <w:rsid w:val="000E6541"/>
    <w:rsid w:val="000F4946"/>
    <w:rsid w:val="00115306"/>
    <w:rsid w:val="00115BC4"/>
    <w:rsid w:val="00186561"/>
    <w:rsid w:val="001A46B3"/>
    <w:rsid w:val="001C2DAC"/>
    <w:rsid w:val="001D4644"/>
    <w:rsid w:val="001E7CB5"/>
    <w:rsid w:val="00256C17"/>
    <w:rsid w:val="00262832"/>
    <w:rsid w:val="0026628E"/>
    <w:rsid w:val="0027793F"/>
    <w:rsid w:val="00282DB2"/>
    <w:rsid w:val="00293165"/>
    <w:rsid w:val="00295FE6"/>
    <w:rsid w:val="002B7344"/>
    <w:rsid w:val="002C13F5"/>
    <w:rsid w:val="002E69AE"/>
    <w:rsid w:val="003000DE"/>
    <w:rsid w:val="003161EC"/>
    <w:rsid w:val="00327475"/>
    <w:rsid w:val="003425BD"/>
    <w:rsid w:val="00342647"/>
    <w:rsid w:val="00356FCC"/>
    <w:rsid w:val="00372F3B"/>
    <w:rsid w:val="00386F6F"/>
    <w:rsid w:val="003900F9"/>
    <w:rsid w:val="003A2057"/>
    <w:rsid w:val="003B04D5"/>
    <w:rsid w:val="003B0517"/>
    <w:rsid w:val="003C1580"/>
    <w:rsid w:val="003D5D3A"/>
    <w:rsid w:val="00410A8F"/>
    <w:rsid w:val="004465C1"/>
    <w:rsid w:val="00476C8E"/>
    <w:rsid w:val="004842C7"/>
    <w:rsid w:val="00496969"/>
    <w:rsid w:val="004B3E2C"/>
    <w:rsid w:val="004E65BB"/>
    <w:rsid w:val="0051246D"/>
    <w:rsid w:val="0052378B"/>
    <w:rsid w:val="00561106"/>
    <w:rsid w:val="00561F31"/>
    <w:rsid w:val="005707D8"/>
    <w:rsid w:val="0058010C"/>
    <w:rsid w:val="005B77FA"/>
    <w:rsid w:val="005C7489"/>
    <w:rsid w:val="005E0F22"/>
    <w:rsid w:val="005E4948"/>
    <w:rsid w:val="00654625"/>
    <w:rsid w:val="00657D6E"/>
    <w:rsid w:val="00661EED"/>
    <w:rsid w:val="0067085A"/>
    <w:rsid w:val="0067708D"/>
    <w:rsid w:val="00683ADB"/>
    <w:rsid w:val="00684671"/>
    <w:rsid w:val="006857EE"/>
    <w:rsid w:val="0068743C"/>
    <w:rsid w:val="00697DF5"/>
    <w:rsid w:val="006B282D"/>
    <w:rsid w:val="006C4DAF"/>
    <w:rsid w:val="006E028B"/>
    <w:rsid w:val="006E5C90"/>
    <w:rsid w:val="007071B7"/>
    <w:rsid w:val="007455F5"/>
    <w:rsid w:val="00753D1D"/>
    <w:rsid w:val="00755FE0"/>
    <w:rsid w:val="007826F3"/>
    <w:rsid w:val="007C1E65"/>
    <w:rsid w:val="007C4B35"/>
    <w:rsid w:val="007D1572"/>
    <w:rsid w:val="00812356"/>
    <w:rsid w:val="008336EF"/>
    <w:rsid w:val="00833E0B"/>
    <w:rsid w:val="00834783"/>
    <w:rsid w:val="00843506"/>
    <w:rsid w:val="00845168"/>
    <w:rsid w:val="00876154"/>
    <w:rsid w:val="008877E3"/>
    <w:rsid w:val="00894DC6"/>
    <w:rsid w:val="008E4692"/>
    <w:rsid w:val="008E739F"/>
    <w:rsid w:val="008F5664"/>
    <w:rsid w:val="009063CC"/>
    <w:rsid w:val="00906BCA"/>
    <w:rsid w:val="00932867"/>
    <w:rsid w:val="00932D28"/>
    <w:rsid w:val="00947E0A"/>
    <w:rsid w:val="00955B58"/>
    <w:rsid w:val="00967333"/>
    <w:rsid w:val="00971805"/>
    <w:rsid w:val="00991812"/>
    <w:rsid w:val="009A3768"/>
    <w:rsid w:val="009A6E15"/>
    <w:rsid w:val="009C139A"/>
    <w:rsid w:val="009C6873"/>
    <w:rsid w:val="009F2FB4"/>
    <w:rsid w:val="009F5DB2"/>
    <w:rsid w:val="009F65D4"/>
    <w:rsid w:val="00A062E6"/>
    <w:rsid w:val="00A262F7"/>
    <w:rsid w:val="00A35320"/>
    <w:rsid w:val="00AB5A62"/>
    <w:rsid w:val="00AE7F9C"/>
    <w:rsid w:val="00AF0288"/>
    <w:rsid w:val="00AF5E80"/>
    <w:rsid w:val="00AF7968"/>
    <w:rsid w:val="00B441FA"/>
    <w:rsid w:val="00B561E7"/>
    <w:rsid w:val="00B63DE1"/>
    <w:rsid w:val="00B71931"/>
    <w:rsid w:val="00BB0D09"/>
    <w:rsid w:val="00BB1584"/>
    <w:rsid w:val="00BB432E"/>
    <w:rsid w:val="00BC4B63"/>
    <w:rsid w:val="00BD79AF"/>
    <w:rsid w:val="00BF2C23"/>
    <w:rsid w:val="00BF6842"/>
    <w:rsid w:val="00C046DA"/>
    <w:rsid w:val="00C15B9E"/>
    <w:rsid w:val="00C24CB5"/>
    <w:rsid w:val="00C329A9"/>
    <w:rsid w:val="00C403E0"/>
    <w:rsid w:val="00C479E2"/>
    <w:rsid w:val="00C707AE"/>
    <w:rsid w:val="00C73729"/>
    <w:rsid w:val="00CB63F4"/>
    <w:rsid w:val="00CC1905"/>
    <w:rsid w:val="00CD5F3F"/>
    <w:rsid w:val="00CD62A6"/>
    <w:rsid w:val="00CE5ABC"/>
    <w:rsid w:val="00CE7C21"/>
    <w:rsid w:val="00D34DA5"/>
    <w:rsid w:val="00D37003"/>
    <w:rsid w:val="00D45590"/>
    <w:rsid w:val="00D809E5"/>
    <w:rsid w:val="00DA0CD7"/>
    <w:rsid w:val="00DB3022"/>
    <w:rsid w:val="00DB3AC5"/>
    <w:rsid w:val="00DB70C8"/>
    <w:rsid w:val="00DC0BBA"/>
    <w:rsid w:val="00DD11BD"/>
    <w:rsid w:val="00DF1DC8"/>
    <w:rsid w:val="00E16703"/>
    <w:rsid w:val="00E32F5E"/>
    <w:rsid w:val="00E751AB"/>
    <w:rsid w:val="00E762DF"/>
    <w:rsid w:val="00EC30FE"/>
    <w:rsid w:val="00EE235C"/>
    <w:rsid w:val="00F176EC"/>
    <w:rsid w:val="00FA2FB4"/>
    <w:rsid w:val="00FB0728"/>
    <w:rsid w:val="00FC204D"/>
    <w:rsid w:val="00FC3DC7"/>
    <w:rsid w:val="00FE62F0"/>
    <w:rsid w:val="00FE706B"/>
    <w:rsid w:val="012B7068"/>
    <w:rsid w:val="01A324E9"/>
    <w:rsid w:val="025340DF"/>
    <w:rsid w:val="03083A13"/>
    <w:rsid w:val="04C87667"/>
    <w:rsid w:val="05793607"/>
    <w:rsid w:val="065F4866"/>
    <w:rsid w:val="0696388E"/>
    <w:rsid w:val="069A7E4C"/>
    <w:rsid w:val="06A27BF1"/>
    <w:rsid w:val="071B2025"/>
    <w:rsid w:val="07204EF8"/>
    <w:rsid w:val="072858CC"/>
    <w:rsid w:val="07BE7462"/>
    <w:rsid w:val="07EA340B"/>
    <w:rsid w:val="08103A22"/>
    <w:rsid w:val="08686258"/>
    <w:rsid w:val="087C10FB"/>
    <w:rsid w:val="08897A92"/>
    <w:rsid w:val="08AD56C8"/>
    <w:rsid w:val="090C06B5"/>
    <w:rsid w:val="09500754"/>
    <w:rsid w:val="097129E3"/>
    <w:rsid w:val="0982136B"/>
    <w:rsid w:val="09C106DE"/>
    <w:rsid w:val="09E50C48"/>
    <w:rsid w:val="09E91E18"/>
    <w:rsid w:val="09F93B0B"/>
    <w:rsid w:val="0A2A2E4F"/>
    <w:rsid w:val="0AEC6744"/>
    <w:rsid w:val="0B2E7CE5"/>
    <w:rsid w:val="0B4207BB"/>
    <w:rsid w:val="0B6B4077"/>
    <w:rsid w:val="0B833E65"/>
    <w:rsid w:val="0C16339A"/>
    <w:rsid w:val="0D277AA0"/>
    <w:rsid w:val="0D755621"/>
    <w:rsid w:val="0D9755F8"/>
    <w:rsid w:val="0DBC4879"/>
    <w:rsid w:val="0E3137D5"/>
    <w:rsid w:val="0EAE5593"/>
    <w:rsid w:val="0EDE7171"/>
    <w:rsid w:val="0EEA0580"/>
    <w:rsid w:val="0EFE76A6"/>
    <w:rsid w:val="0F2F7113"/>
    <w:rsid w:val="1027040D"/>
    <w:rsid w:val="10370C39"/>
    <w:rsid w:val="10E27AA2"/>
    <w:rsid w:val="10EF5C58"/>
    <w:rsid w:val="111D5BA4"/>
    <w:rsid w:val="12DF6827"/>
    <w:rsid w:val="1316681A"/>
    <w:rsid w:val="136E36ED"/>
    <w:rsid w:val="14247998"/>
    <w:rsid w:val="14AD27EB"/>
    <w:rsid w:val="15E51C0A"/>
    <w:rsid w:val="16880487"/>
    <w:rsid w:val="16F14633"/>
    <w:rsid w:val="1735378C"/>
    <w:rsid w:val="178737DD"/>
    <w:rsid w:val="17A961D4"/>
    <w:rsid w:val="181E0FA8"/>
    <w:rsid w:val="185309F7"/>
    <w:rsid w:val="18B52D40"/>
    <w:rsid w:val="1907212B"/>
    <w:rsid w:val="19CF7EE4"/>
    <w:rsid w:val="1A027439"/>
    <w:rsid w:val="1A3630E4"/>
    <w:rsid w:val="1A786B33"/>
    <w:rsid w:val="1BB81089"/>
    <w:rsid w:val="1BD202F8"/>
    <w:rsid w:val="1C387059"/>
    <w:rsid w:val="1D3F3591"/>
    <w:rsid w:val="1D9477C7"/>
    <w:rsid w:val="1DDF6A9E"/>
    <w:rsid w:val="1EBD183F"/>
    <w:rsid w:val="1F603D1D"/>
    <w:rsid w:val="1F9736CC"/>
    <w:rsid w:val="1FAE710E"/>
    <w:rsid w:val="1FB950A5"/>
    <w:rsid w:val="1FD004F5"/>
    <w:rsid w:val="200931A3"/>
    <w:rsid w:val="20854257"/>
    <w:rsid w:val="20986689"/>
    <w:rsid w:val="20D962CC"/>
    <w:rsid w:val="212F207F"/>
    <w:rsid w:val="21452025"/>
    <w:rsid w:val="21551D08"/>
    <w:rsid w:val="21F64047"/>
    <w:rsid w:val="22C02917"/>
    <w:rsid w:val="24C774F3"/>
    <w:rsid w:val="24FA7B37"/>
    <w:rsid w:val="250A5BD3"/>
    <w:rsid w:val="25D71AA3"/>
    <w:rsid w:val="25FC7E3F"/>
    <w:rsid w:val="26256EA1"/>
    <w:rsid w:val="26F853FE"/>
    <w:rsid w:val="275E275B"/>
    <w:rsid w:val="278D6D62"/>
    <w:rsid w:val="27CE635B"/>
    <w:rsid w:val="28B23CE8"/>
    <w:rsid w:val="28E33CA5"/>
    <w:rsid w:val="28FC2C67"/>
    <w:rsid w:val="297A24E8"/>
    <w:rsid w:val="2A006F73"/>
    <w:rsid w:val="2B5D7831"/>
    <w:rsid w:val="2BC65CD8"/>
    <w:rsid w:val="2C8705F8"/>
    <w:rsid w:val="2C9103E2"/>
    <w:rsid w:val="2CFE6F5D"/>
    <w:rsid w:val="2D30727C"/>
    <w:rsid w:val="2DD3023A"/>
    <w:rsid w:val="2E533718"/>
    <w:rsid w:val="2E903E70"/>
    <w:rsid w:val="3034552F"/>
    <w:rsid w:val="309F1652"/>
    <w:rsid w:val="31105907"/>
    <w:rsid w:val="328A4FE6"/>
    <w:rsid w:val="32A2020C"/>
    <w:rsid w:val="33421B7C"/>
    <w:rsid w:val="337C3E29"/>
    <w:rsid w:val="3392652C"/>
    <w:rsid w:val="34143559"/>
    <w:rsid w:val="341C4B0F"/>
    <w:rsid w:val="352C1999"/>
    <w:rsid w:val="359D13BA"/>
    <w:rsid w:val="364A2958"/>
    <w:rsid w:val="36FC3F21"/>
    <w:rsid w:val="37187253"/>
    <w:rsid w:val="37907BFA"/>
    <w:rsid w:val="379F24CF"/>
    <w:rsid w:val="385D1988"/>
    <w:rsid w:val="388E6F92"/>
    <w:rsid w:val="394C0040"/>
    <w:rsid w:val="3A3A3934"/>
    <w:rsid w:val="3A9D40B6"/>
    <w:rsid w:val="3BDC148B"/>
    <w:rsid w:val="3C161724"/>
    <w:rsid w:val="3C39735A"/>
    <w:rsid w:val="3C42530C"/>
    <w:rsid w:val="3DAC6F25"/>
    <w:rsid w:val="3DD12D56"/>
    <w:rsid w:val="3EDF4135"/>
    <w:rsid w:val="3F2029A0"/>
    <w:rsid w:val="40324012"/>
    <w:rsid w:val="412C6278"/>
    <w:rsid w:val="418360A4"/>
    <w:rsid w:val="419B050B"/>
    <w:rsid w:val="41A43F03"/>
    <w:rsid w:val="41EA08B5"/>
    <w:rsid w:val="42F02098"/>
    <w:rsid w:val="43B24EF0"/>
    <w:rsid w:val="43B3461E"/>
    <w:rsid w:val="43F87935"/>
    <w:rsid w:val="44337121"/>
    <w:rsid w:val="44A65FDD"/>
    <w:rsid w:val="44E06C1F"/>
    <w:rsid w:val="45331D5C"/>
    <w:rsid w:val="453A530A"/>
    <w:rsid w:val="453B44A5"/>
    <w:rsid w:val="458D5B34"/>
    <w:rsid w:val="45C476F1"/>
    <w:rsid w:val="45E11C4F"/>
    <w:rsid w:val="463F1EE2"/>
    <w:rsid w:val="4662525B"/>
    <w:rsid w:val="46E10837"/>
    <w:rsid w:val="477737C9"/>
    <w:rsid w:val="489F1C54"/>
    <w:rsid w:val="48D15315"/>
    <w:rsid w:val="49104A69"/>
    <w:rsid w:val="49607E4F"/>
    <w:rsid w:val="496D2C05"/>
    <w:rsid w:val="4A655B5A"/>
    <w:rsid w:val="4ADA0199"/>
    <w:rsid w:val="4AEE455E"/>
    <w:rsid w:val="4B0E23E0"/>
    <w:rsid w:val="4C100C5A"/>
    <w:rsid w:val="4C497047"/>
    <w:rsid w:val="4C574A64"/>
    <w:rsid w:val="4CE566B4"/>
    <w:rsid w:val="4D1B26B0"/>
    <w:rsid w:val="4D5A3EAE"/>
    <w:rsid w:val="4D7D176B"/>
    <w:rsid w:val="4DC70853"/>
    <w:rsid w:val="4E0F020F"/>
    <w:rsid w:val="4EFB1622"/>
    <w:rsid w:val="4F561A14"/>
    <w:rsid w:val="4FA93BA7"/>
    <w:rsid w:val="4FC61260"/>
    <w:rsid w:val="51172EEC"/>
    <w:rsid w:val="51571650"/>
    <w:rsid w:val="51600577"/>
    <w:rsid w:val="524A1938"/>
    <w:rsid w:val="526770C0"/>
    <w:rsid w:val="53385DDA"/>
    <w:rsid w:val="54327630"/>
    <w:rsid w:val="550F1CE0"/>
    <w:rsid w:val="562260D0"/>
    <w:rsid w:val="563170F6"/>
    <w:rsid w:val="564424F7"/>
    <w:rsid w:val="56665BE2"/>
    <w:rsid w:val="56A1170D"/>
    <w:rsid w:val="56C675EA"/>
    <w:rsid w:val="58BE678B"/>
    <w:rsid w:val="598B0C2D"/>
    <w:rsid w:val="5A713E1B"/>
    <w:rsid w:val="5ACB3F81"/>
    <w:rsid w:val="5BE273EE"/>
    <w:rsid w:val="5C3200D6"/>
    <w:rsid w:val="5C74500F"/>
    <w:rsid w:val="5CAC4F42"/>
    <w:rsid w:val="5DF2741F"/>
    <w:rsid w:val="5E2A018B"/>
    <w:rsid w:val="5E413D91"/>
    <w:rsid w:val="5F797C86"/>
    <w:rsid w:val="5FB51E90"/>
    <w:rsid w:val="5FC058B5"/>
    <w:rsid w:val="60082773"/>
    <w:rsid w:val="607F065F"/>
    <w:rsid w:val="61335B85"/>
    <w:rsid w:val="61CC1E53"/>
    <w:rsid w:val="62502A57"/>
    <w:rsid w:val="626B6674"/>
    <w:rsid w:val="62F373DE"/>
    <w:rsid w:val="632C6FC4"/>
    <w:rsid w:val="63544DA0"/>
    <w:rsid w:val="63597E24"/>
    <w:rsid w:val="63FD189B"/>
    <w:rsid w:val="64480A16"/>
    <w:rsid w:val="6472185A"/>
    <w:rsid w:val="64950263"/>
    <w:rsid w:val="64A439A6"/>
    <w:rsid w:val="64F94FB6"/>
    <w:rsid w:val="65694370"/>
    <w:rsid w:val="65BE2C69"/>
    <w:rsid w:val="66040505"/>
    <w:rsid w:val="6611216B"/>
    <w:rsid w:val="66315729"/>
    <w:rsid w:val="66534F40"/>
    <w:rsid w:val="68D93CAA"/>
    <w:rsid w:val="68E61A72"/>
    <w:rsid w:val="696F5C56"/>
    <w:rsid w:val="6B0542A1"/>
    <w:rsid w:val="6B7D64E9"/>
    <w:rsid w:val="6BC50EB1"/>
    <w:rsid w:val="6C47547B"/>
    <w:rsid w:val="6C5D5B58"/>
    <w:rsid w:val="6D3677E6"/>
    <w:rsid w:val="6DF76589"/>
    <w:rsid w:val="6E9111BD"/>
    <w:rsid w:val="6EB611AF"/>
    <w:rsid w:val="6EC73EAC"/>
    <w:rsid w:val="6F210692"/>
    <w:rsid w:val="6F9873EE"/>
    <w:rsid w:val="708E6837"/>
    <w:rsid w:val="71381863"/>
    <w:rsid w:val="717B0FB2"/>
    <w:rsid w:val="71A43E00"/>
    <w:rsid w:val="71A74D85"/>
    <w:rsid w:val="71CA07BD"/>
    <w:rsid w:val="71DB6272"/>
    <w:rsid w:val="720A37A4"/>
    <w:rsid w:val="72AA36AE"/>
    <w:rsid w:val="72B64F42"/>
    <w:rsid w:val="72F5331B"/>
    <w:rsid w:val="730F3052"/>
    <w:rsid w:val="73944C37"/>
    <w:rsid w:val="741E2752"/>
    <w:rsid w:val="74D31A39"/>
    <w:rsid w:val="74F32204"/>
    <w:rsid w:val="75CC7A53"/>
    <w:rsid w:val="75D270BD"/>
    <w:rsid w:val="766C48C1"/>
    <w:rsid w:val="76CC1C0D"/>
    <w:rsid w:val="781E0582"/>
    <w:rsid w:val="782E1C88"/>
    <w:rsid w:val="78D12BEE"/>
    <w:rsid w:val="78F03A78"/>
    <w:rsid w:val="79153F55"/>
    <w:rsid w:val="79652BD2"/>
    <w:rsid w:val="7972242B"/>
    <w:rsid w:val="7A6354C5"/>
    <w:rsid w:val="7A96762C"/>
    <w:rsid w:val="7B114D77"/>
    <w:rsid w:val="7B347AFD"/>
    <w:rsid w:val="7BAD446D"/>
    <w:rsid w:val="7BBC11CF"/>
    <w:rsid w:val="7C0D7DE6"/>
    <w:rsid w:val="7CB266A1"/>
    <w:rsid w:val="7D594473"/>
    <w:rsid w:val="7DB17D32"/>
    <w:rsid w:val="7E013DC5"/>
    <w:rsid w:val="7E684CD9"/>
    <w:rsid w:val="7E982E62"/>
    <w:rsid w:val="7E9C74EB"/>
    <w:rsid w:val="7EAB425E"/>
    <w:rsid w:val="7EE342FA"/>
    <w:rsid w:val="7F0C0DFF"/>
    <w:rsid w:val="7F7C4936"/>
    <w:rsid w:val="7FFA2B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ind w:left="180"/>
      <w:textAlignment w:val="baseline"/>
      <w:outlineLvl w:val="1"/>
    </w:pPr>
    <w:rPr>
      <w:rFonts w:ascii="Arial" w:hAnsi="Arial" w:eastAsia="黑体"/>
      <w:b/>
      <w:sz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Normal Indent"/>
    <w:basedOn w:val="1"/>
    <w:link w:val="27"/>
    <w:unhideWhenUsed/>
    <w:qFormat/>
    <w:uiPriority w:val="0"/>
    <w:pPr>
      <w:ind w:firstLine="420" w:firstLineChars="200"/>
    </w:pPr>
    <w:rPr>
      <w:rFonts w:ascii="Calibri" w:hAnsi="Calibri"/>
    </w:rPr>
  </w:style>
  <w:style w:type="paragraph" w:styleId="4">
    <w:name w:val="toa heading"/>
    <w:basedOn w:val="1"/>
    <w:next w:val="1"/>
    <w:unhideWhenUsed/>
    <w:qFormat/>
    <w:uiPriority w:val="99"/>
    <w:pPr>
      <w:spacing w:before="120"/>
    </w:pPr>
    <w:rPr>
      <w:rFonts w:asciiTheme="majorHAnsi" w:hAnsiTheme="majorHAnsi" w:cstheme="majorBidi"/>
      <w:sz w:val="24"/>
    </w:rPr>
  </w:style>
  <w:style w:type="paragraph" w:styleId="5">
    <w:name w:val="annotation text"/>
    <w:basedOn w:val="1"/>
    <w:link w:val="24"/>
    <w:semiHidden/>
    <w:unhideWhenUsed/>
    <w:qFormat/>
    <w:uiPriority w:val="99"/>
    <w:pPr>
      <w:jc w:val="left"/>
    </w:pPr>
  </w:style>
  <w:style w:type="paragraph" w:styleId="6">
    <w:name w:val="Body Text"/>
    <w:basedOn w:val="1"/>
    <w:link w:val="23"/>
    <w:qFormat/>
    <w:uiPriority w:val="0"/>
    <w:pPr>
      <w:spacing w:after="120"/>
    </w:pPr>
  </w:style>
  <w:style w:type="paragraph" w:styleId="7">
    <w:name w:val="Balloon Text"/>
    <w:basedOn w:val="1"/>
    <w:link w:val="26"/>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5"/>
    <w:next w:val="5"/>
    <w:link w:val="25"/>
    <w:semiHidden/>
    <w:unhideWhenUsed/>
    <w:qFormat/>
    <w:uiPriority w:val="99"/>
    <w:rPr>
      <w:b/>
      <w:bCs/>
    </w:rPr>
  </w:style>
  <w:style w:type="table" w:styleId="13">
    <w:name w:val="Table Grid"/>
    <w:basedOn w:val="12"/>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unhideWhenUsed/>
    <w:qFormat/>
    <w:uiPriority w:val="99"/>
    <w:rPr>
      <w:rFonts w:cs="Times New Roman"/>
      <w:sz w:val="21"/>
      <w:szCs w:val="21"/>
    </w:rPr>
  </w:style>
  <w:style w:type="paragraph" w:customStyle="1" w:styleId="17">
    <w:name w:val="Table Paragraph"/>
    <w:basedOn w:val="1"/>
    <w:qFormat/>
    <w:uiPriority w:val="1"/>
    <w:pPr>
      <w:autoSpaceDE w:val="0"/>
      <w:autoSpaceDN w:val="0"/>
      <w:adjustRightInd w:val="0"/>
      <w:jc w:val="left"/>
    </w:pPr>
    <w:rPr>
      <w:rFonts w:ascii="宋体" w:cs="宋体"/>
      <w:kern w:val="0"/>
      <w:sz w:val="24"/>
    </w:rPr>
  </w:style>
  <w:style w:type="paragraph" w:customStyle="1" w:styleId="18">
    <w:name w:val="样式4"/>
    <w:basedOn w:val="1"/>
    <w:qFormat/>
    <w:uiPriority w:val="0"/>
    <w:pPr>
      <w:tabs>
        <w:tab w:val="left" w:pos="2328"/>
      </w:tabs>
      <w:ind w:left="2328" w:hanging="708"/>
    </w:pPr>
  </w:style>
  <w:style w:type="character" w:customStyle="1" w:styleId="19">
    <w:name w:val="页眉 字符"/>
    <w:link w:val="9"/>
    <w:qFormat/>
    <w:uiPriority w:val="99"/>
    <w:rPr>
      <w:rFonts w:ascii="Times New Roman" w:hAnsi="Times New Roman" w:eastAsia="宋体" w:cs="Times New Roman"/>
      <w:sz w:val="18"/>
      <w:szCs w:val="18"/>
    </w:rPr>
  </w:style>
  <w:style w:type="character" w:customStyle="1" w:styleId="20">
    <w:name w:val="页脚 字符"/>
    <w:link w:val="8"/>
    <w:qFormat/>
    <w:uiPriority w:val="99"/>
    <w:rPr>
      <w:rFonts w:ascii="Times New Roman" w:hAnsi="Times New Roman" w:eastAsia="宋体" w:cs="Times New Roman"/>
      <w:sz w:val="18"/>
      <w:szCs w:val="18"/>
    </w:rPr>
  </w:style>
  <w:style w:type="character" w:customStyle="1" w:styleId="21">
    <w:name w:val="font11"/>
    <w:qFormat/>
    <w:uiPriority w:val="0"/>
    <w:rPr>
      <w:rFonts w:hint="default" w:ascii="Times New Roman" w:hAnsi="Times New Roman" w:cs="Times New Roman"/>
      <w:color w:val="000000"/>
      <w:sz w:val="24"/>
      <w:szCs w:val="24"/>
      <w:u w:val="none"/>
    </w:rPr>
  </w:style>
  <w:style w:type="character" w:customStyle="1" w:styleId="22">
    <w:name w:val="font21"/>
    <w:qFormat/>
    <w:uiPriority w:val="0"/>
    <w:rPr>
      <w:rFonts w:ascii="Arial" w:hAnsi="Arial" w:cs="Arial"/>
      <w:color w:val="000000"/>
      <w:sz w:val="21"/>
      <w:szCs w:val="21"/>
      <w:u w:val="none"/>
    </w:rPr>
  </w:style>
  <w:style w:type="character" w:customStyle="1" w:styleId="23">
    <w:name w:val="正文文本 字符"/>
    <w:basedOn w:val="14"/>
    <w:link w:val="6"/>
    <w:qFormat/>
    <w:uiPriority w:val="0"/>
    <w:rPr>
      <w:rFonts w:ascii="Times New Roman" w:hAnsi="Times New Roman" w:eastAsia="宋体"/>
      <w:kern w:val="2"/>
      <w:sz w:val="21"/>
      <w:szCs w:val="24"/>
    </w:rPr>
  </w:style>
  <w:style w:type="character" w:customStyle="1" w:styleId="24">
    <w:name w:val="批注文字 字符"/>
    <w:basedOn w:val="14"/>
    <w:link w:val="5"/>
    <w:semiHidden/>
    <w:qFormat/>
    <w:uiPriority w:val="99"/>
    <w:rPr>
      <w:rFonts w:ascii="Times New Roman" w:hAnsi="Times New Roman" w:eastAsia="宋体"/>
      <w:kern w:val="2"/>
      <w:sz w:val="21"/>
      <w:szCs w:val="24"/>
    </w:rPr>
  </w:style>
  <w:style w:type="character" w:customStyle="1" w:styleId="25">
    <w:name w:val="批注主题 字符"/>
    <w:basedOn w:val="24"/>
    <w:link w:val="11"/>
    <w:semiHidden/>
    <w:qFormat/>
    <w:uiPriority w:val="99"/>
    <w:rPr>
      <w:rFonts w:ascii="Times New Roman" w:hAnsi="Times New Roman" w:eastAsia="宋体"/>
      <w:b/>
      <w:bCs/>
      <w:kern w:val="2"/>
      <w:sz w:val="21"/>
      <w:szCs w:val="24"/>
    </w:rPr>
  </w:style>
  <w:style w:type="character" w:customStyle="1" w:styleId="26">
    <w:name w:val="批注框文本 字符"/>
    <w:basedOn w:val="14"/>
    <w:link w:val="7"/>
    <w:semiHidden/>
    <w:qFormat/>
    <w:uiPriority w:val="99"/>
    <w:rPr>
      <w:rFonts w:ascii="Times New Roman" w:hAnsi="Times New Roman" w:eastAsia="宋体"/>
      <w:kern w:val="2"/>
      <w:sz w:val="18"/>
      <w:szCs w:val="18"/>
    </w:rPr>
  </w:style>
  <w:style w:type="character" w:customStyle="1" w:styleId="27">
    <w:name w:val="正文缩进 字符"/>
    <w:link w:val="3"/>
    <w:qFormat/>
    <w:uiPriority w:val="0"/>
    <w:rPr>
      <w:rFonts w:ascii="Calibri" w:hAnsi="Calibri" w:eastAsia="宋体"/>
      <w:kern w:val="2"/>
      <w:sz w:val="21"/>
      <w:szCs w:val="24"/>
    </w:rPr>
  </w:style>
  <w:style w:type="paragraph" w:customStyle="1" w:styleId="28">
    <w:name w:val="正文cl"/>
    <w:basedOn w:val="1"/>
    <w:qFormat/>
    <w:uiPriority w:val="0"/>
    <w:pPr>
      <w:snapToGrid w:val="0"/>
      <w:spacing w:line="360" w:lineRule="auto"/>
      <w:ind w:firstLine="600" w:firstLineChars="200"/>
    </w:pPr>
    <w:rPr>
      <w:rFonts w:ascii="Tahoma" w:hAnsi="Tahoma" w:eastAsia="仿宋_GB2312" w:cs="宋体"/>
      <w:sz w:val="30"/>
      <w:szCs w:val="20"/>
    </w:rPr>
  </w:style>
  <w:style w:type="paragraph" w:styleId="2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F9501-0237-4255-9542-92A5A6AFFB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2911</Words>
  <Characters>2977</Characters>
  <Lines>22</Lines>
  <Paragraphs>6</Paragraphs>
  <TotalTime>2</TotalTime>
  <ScaleCrop>false</ScaleCrop>
  <LinksUpToDate>false</LinksUpToDate>
  <CharactersWithSpaces>2979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2023-04-27T09:53:00Z</dcterms:created>
  <dc:creator>User</dc:creator>
  <cp:lastModifiedBy>Administrator</cp:lastModifiedBy>
  <cp:lastPrinted>2023-05-16T08:41:00Z</cp:lastPrinted>
  <dcterms:modified xsi:type="dcterms:W3CDTF">2023-07-07T01:01:44Z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F64F2C0EFE064F19AE099904A98B32F4_13</vt:lpwstr>
  </property>
</Properties>
</file>