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东莞农村商业银行</w:t>
      </w:r>
      <w:r>
        <w:rPr>
          <w:rFonts w:hint="eastAsia" w:ascii="宋体" w:hAnsi="宋体"/>
          <w:b/>
          <w:color w:val="auto"/>
          <w:sz w:val="32"/>
          <w:szCs w:val="32"/>
          <w:highlight w:val="none"/>
        </w:rPr>
        <w:t>新一代IT智能监控系统建设项目</w:t>
      </w:r>
    </w:p>
    <w:p>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市场调研项目需求</w:t>
      </w:r>
    </w:p>
    <w:p>
      <w:pPr>
        <w:spacing w:line="360" w:lineRule="auto"/>
        <w:rPr>
          <w:rFonts w:ascii="宋体" w:hAnsi="宋体"/>
          <w:b/>
          <w:color w:val="auto"/>
          <w:szCs w:val="21"/>
          <w:highlight w:val="none"/>
        </w:rPr>
      </w:pPr>
    </w:p>
    <w:p>
      <w:pPr>
        <w:spacing w:line="360" w:lineRule="auto"/>
        <w:rPr>
          <w:rFonts w:ascii="宋体" w:hAnsi="宋体"/>
          <w:b/>
          <w:color w:val="auto"/>
          <w:szCs w:val="21"/>
          <w:highlight w:val="none"/>
        </w:rPr>
      </w:pPr>
      <w:r>
        <w:rPr>
          <w:rFonts w:hint="eastAsia" w:ascii="宋体" w:hAnsi="宋体"/>
          <w:b/>
          <w:color w:val="auto"/>
          <w:szCs w:val="21"/>
          <w:highlight w:val="none"/>
        </w:rPr>
        <w:t>一、项目信息</w:t>
      </w:r>
    </w:p>
    <w:p>
      <w:pPr>
        <w:widowControl/>
        <w:spacing w:line="360" w:lineRule="auto"/>
        <w:ind w:firstLine="420" w:firstLineChars="200"/>
        <w:rPr>
          <w:rFonts w:cs="仿宋_GB2312" w:asciiTheme="minorEastAsia" w:hAnsiTheme="minorEastAsia" w:eastAsiaTheme="minorEastAsia"/>
          <w:bCs/>
          <w:color w:val="auto"/>
          <w:szCs w:val="21"/>
          <w:highlight w:val="none"/>
        </w:rPr>
      </w:pPr>
      <w:r>
        <w:rPr>
          <w:rFonts w:cs="仿宋_GB2312" w:asciiTheme="minorEastAsia" w:hAnsiTheme="minorEastAsia" w:eastAsiaTheme="minorEastAsia"/>
          <w:bCs/>
          <w:color w:val="auto"/>
          <w:szCs w:val="21"/>
          <w:highlight w:val="none"/>
        </w:rPr>
        <w:t>项目名称：</w:t>
      </w:r>
      <w:r>
        <w:rPr>
          <w:rFonts w:hint="eastAsia" w:cs="仿宋_GB2312" w:asciiTheme="minorEastAsia" w:hAnsiTheme="minorEastAsia" w:eastAsiaTheme="minorEastAsia"/>
          <w:bCs/>
          <w:color w:val="auto"/>
          <w:szCs w:val="21"/>
          <w:highlight w:val="none"/>
        </w:rPr>
        <w:t>东莞农村商业银行新一代IT智能监控系统建设项目</w:t>
      </w:r>
    </w:p>
    <w:p>
      <w:pPr>
        <w:widowControl/>
        <w:spacing w:line="360" w:lineRule="auto"/>
        <w:ind w:firstLine="420" w:firstLineChars="200"/>
        <w:rPr>
          <w:rFonts w:cs="仿宋_GB2312" w:asciiTheme="minorEastAsia" w:hAnsiTheme="minorEastAsia" w:eastAsiaTheme="minorEastAsia"/>
          <w:bCs/>
          <w:color w:val="auto"/>
          <w:szCs w:val="21"/>
          <w:highlight w:val="none"/>
        </w:rPr>
      </w:pPr>
      <w:r>
        <w:rPr>
          <w:rFonts w:hint="eastAsia" w:cs="仿宋_GB2312" w:asciiTheme="minorEastAsia" w:hAnsiTheme="minorEastAsia" w:eastAsiaTheme="minorEastAsia"/>
          <w:bCs/>
          <w:color w:val="auto"/>
          <w:szCs w:val="21"/>
          <w:highlight w:val="none"/>
        </w:rPr>
        <w:t>采购人：东莞农村商业银行股份有限公司</w:t>
      </w:r>
    </w:p>
    <w:p>
      <w:pPr>
        <w:widowControl/>
        <w:spacing w:line="360" w:lineRule="auto"/>
        <w:ind w:firstLine="420" w:firstLineChars="200"/>
        <w:rPr>
          <w:color w:val="auto"/>
          <w:highlight w:val="none"/>
        </w:rPr>
      </w:pPr>
      <w:r>
        <w:rPr>
          <w:rFonts w:cs="仿宋_GB2312" w:asciiTheme="minorEastAsia" w:hAnsiTheme="minorEastAsia" w:eastAsiaTheme="minorEastAsia"/>
          <w:bCs/>
          <w:color w:val="auto"/>
          <w:szCs w:val="21"/>
          <w:highlight w:val="none"/>
        </w:rPr>
        <w:t>项目</w:t>
      </w:r>
      <w:r>
        <w:rPr>
          <w:rFonts w:hint="eastAsia" w:cs="仿宋_GB2312" w:asciiTheme="minorEastAsia" w:hAnsiTheme="minorEastAsia" w:eastAsiaTheme="minorEastAsia"/>
          <w:bCs/>
          <w:color w:val="auto"/>
          <w:szCs w:val="21"/>
          <w:highlight w:val="none"/>
        </w:rPr>
        <w:t>概算</w:t>
      </w:r>
      <w:r>
        <w:rPr>
          <w:rFonts w:cs="仿宋_GB2312" w:asciiTheme="minorEastAsia" w:hAnsiTheme="minorEastAsia" w:eastAsiaTheme="minorEastAsia"/>
          <w:bCs/>
          <w:color w:val="auto"/>
          <w:szCs w:val="21"/>
          <w:highlight w:val="none"/>
        </w:rPr>
        <w:t>：</w:t>
      </w:r>
      <w:r>
        <w:rPr>
          <w:rFonts w:hint="eastAsia" w:cs="仿宋_GB2312" w:asciiTheme="minorEastAsia" w:hAnsiTheme="minorEastAsia" w:eastAsiaTheme="minorEastAsia"/>
          <w:bCs/>
          <w:color w:val="auto"/>
          <w:szCs w:val="21"/>
          <w:highlight w:val="none"/>
        </w:rPr>
        <w:t xml:space="preserve">人民币约 250  </w:t>
      </w:r>
      <w:r>
        <w:rPr>
          <w:rFonts w:cs="仿宋_GB2312" w:asciiTheme="minorEastAsia" w:hAnsiTheme="minorEastAsia" w:eastAsiaTheme="minorEastAsia"/>
          <w:bCs/>
          <w:color w:val="auto"/>
          <w:szCs w:val="21"/>
          <w:highlight w:val="none"/>
        </w:rPr>
        <w:t>万元</w:t>
      </w:r>
      <w:r>
        <w:rPr>
          <w:rFonts w:hint="eastAsia" w:cs="仿宋_GB2312" w:asciiTheme="minorEastAsia" w:hAnsiTheme="minorEastAsia" w:eastAsiaTheme="minorEastAsia"/>
          <w:bCs/>
          <w:color w:val="auto"/>
          <w:szCs w:val="21"/>
          <w:highlight w:val="none"/>
        </w:rPr>
        <w:t>（含税）</w:t>
      </w:r>
    </w:p>
    <w:p>
      <w:pPr>
        <w:widowControl/>
        <w:spacing w:line="360" w:lineRule="auto"/>
        <w:ind w:firstLine="420" w:firstLineChars="200"/>
        <w:rPr>
          <w:rFonts w:cs="仿宋_GB2312" w:asciiTheme="minorEastAsia" w:hAnsiTheme="minorEastAsia" w:eastAsiaTheme="minorEastAsia"/>
          <w:bCs/>
          <w:color w:val="auto"/>
          <w:szCs w:val="21"/>
          <w:highlight w:val="none"/>
        </w:rPr>
      </w:pPr>
      <w:r>
        <w:rPr>
          <w:rFonts w:hint="eastAsia" w:cs="仿宋_GB2312" w:asciiTheme="minorEastAsia" w:hAnsiTheme="minorEastAsia" w:eastAsiaTheme="minorEastAsia"/>
          <w:bCs/>
          <w:color w:val="auto"/>
          <w:szCs w:val="21"/>
          <w:highlight w:val="none"/>
        </w:rPr>
        <w:t>维保服务期：本次项目</w:t>
      </w:r>
      <w:r>
        <w:rPr>
          <w:rStyle w:val="15"/>
          <w:rFonts w:hint="eastAsia"/>
          <w:color w:val="auto"/>
          <w:highlight w:val="none"/>
        </w:rPr>
        <w:t>带</w:t>
      </w:r>
      <w:r>
        <w:rPr>
          <w:rFonts w:hint="eastAsia" w:cs="仿宋_GB2312" w:asciiTheme="minorEastAsia" w:hAnsiTheme="minorEastAsia" w:eastAsiaTheme="minorEastAsia"/>
          <w:bCs/>
          <w:color w:val="auto"/>
          <w:szCs w:val="21"/>
          <w:highlight w:val="none"/>
        </w:rPr>
        <w:t>维保服务期</w:t>
      </w:r>
      <w:r>
        <w:rPr>
          <w:rFonts w:hint="eastAsia" w:cs="仿宋_GB2312" w:asciiTheme="minorEastAsia" w:hAnsiTheme="minorEastAsia" w:eastAsiaTheme="minorEastAsia"/>
          <w:bCs/>
          <w:color w:val="auto"/>
          <w:szCs w:val="21"/>
          <w:highlight w:val="none"/>
        </w:rPr>
        <w:t>不</w:t>
      </w:r>
      <w:bookmarkStart w:id="0" w:name="_GoBack"/>
      <w:bookmarkEnd w:id="0"/>
      <w:r>
        <w:rPr>
          <w:rFonts w:hint="eastAsia" w:cs="仿宋_GB2312" w:asciiTheme="minorEastAsia" w:hAnsiTheme="minorEastAsia" w:eastAsiaTheme="minorEastAsia"/>
          <w:bCs/>
          <w:color w:val="auto"/>
          <w:szCs w:val="21"/>
          <w:highlight w:val="none"/>
        </w:rPr>
        <w:t>少于三年（36个月）</w:t>
      </w:r>
      <w:r>
        <w:rPr>
          <w:rFonts w:hint="eastAsia" w:cs="仿宋_GB2312" w:asciiTheme="minorEastAsia" w:hAnsiTheme="minorEastAsia" w:eastAsiaTheme="minorEastAsia"/>
          <w:bCs/>
          <w:color w:val="auto"/>
          <w:szCs w:val="21"/>
          <w:highlight w:val="none"/>
        </w:rPr>
        <w:t>，以原厂服务承诺函为准。</w:t>
      </w:r>
    </w:p>
    <w:p>
      <w:pPr>
        <w:spacing w:line="360" w:lineRule="auto"/>
        <w:rPr>
          <w:rFonts w:ascii="宋体" w:hAnsi="宋体"/>
          <w:b/>
          <w:color w:val="auto"/>
          <w:szCs w:val="21"/>
          <w:highlight w:val="none"/>
        </w:rPr>
      </w:pPr>
      <w:r>
        <w:rPr>
          <w:rFonts w:hint="eastAsia" w:ascii="宋体" w:hAnsi="宋体"/>
          <w:b/>
          <w:color w:val="auto"/>
          <w:szCs w:val="21"/>
          <w:highlight w:val="none"/>
        </w:rPr>
        <w:t>二</w:t>
      </w:r>
      <w:r>
        <w:rPr>
          <w:rFonts w:ascii="宋体" w:hAnsi="宋体"/>
          <w:b/>
          <w:color w:val="auto"/>
          <w:szCs w:val="21"/>
          <w:highlight w:val="none"/>
        </w:rPr>
        <w:t>、</w:t>
      </w:r>
      <w:r>
        <w:rPr>
          <w:rFonts w:hint="eastAsia" w:ascii="宋体" w:hAnsi="宋体"/>
          <w:b/>
          <w:color w:val="auto"/>
          <w:szCs w:val="21"/>
          <w:highlight w:val="none"/>
        </w:rPr>
        <w:t>项目背景</w:t>
      </w:r>
    </w:p>
    <w:p>
      <w:pPr>
        <w:spacing w:line="580" w:lineRule="exact"/>
        <w:ind w:firstLine="630" w:firstLineChars="300"/>
        <w:rPr>
          <w:rFonts w:ascii="宋体" w:hAnsi="宋体" w:cs="宋体"/>
          <w:color w:val="auto"/>
          <w:szCs w:val="21"/>
          <w:highlight w:val="none"/>
        </w:rPr>
      </w:pPr>
      <w:r>
        <w:rPr>
          <w:rFonts w:hint="eastAsia" w:cs="仿宋_GB2312" w:asciiTheme="minorEastAsia" w:hAnsiTheme="minorEastAsia" w:eastAsiaTheme="minorEastAsia"/>
          <w:bCs/>
          <w:color w:val="auto"/>
          <w:szCs w:val="21"/>
          <w:highlight w:val="none"/>
        </w:rPr>
        <w:t>为提升信息系统监控能力，构建以业务为中心的IT基础架构软硬件全栈化监控体系和统一的IT监控告警中心，更快发现系统异常和更快定位故障，并快速支持各类监控指标的开发和实现，现计划开展新一代IT智能监控系统建设项目</w:t>
      </w:r>
      <w:r>
        <w:rPr>
          <w:rFonts w:hint="eastAsia" w:ascii="宋体" w:hAnsi="宋体"/>
          <w:color w:val="auto"/>
          <w:szCs w:val="21"/>
          <w:highlight w:val="none"/>
        </w:rPr>
        <w:t>市场调研</w:t>
      </w:r>
      <w:r>
        <w:rPr>
          <w:rFonts w:hint="eastAsia" w:ascii="宋体" w:hAnsi="宋体"/>
          <w:color w:val="auto"/>
          <w:szCs w:val="21"/>
          <w:highlight w:val="none"/>
        </w:rPr>
        <w:t>，欢迎愿意参加本项目市场调研的潜在供应商（本次项目需求的供应商指产品制造商），提供市场调研资料</w:t>
      </w:r>
      <w:r>
        <w:rPr>
          <w:rFonts w:hint="eastAsia" w:ascii="宋体" w:hAnsi="宋体" w:cs="宋体"/>
          <w:color w:val="auto"/>
          <w:szCs w:val="21"/>
          <w:highlight w:val="none"/>
        </w:rPr>
        <w:t>。</w:t>
      </w:r>
    </w:p>
    <w:p>
      <w:pPr>
        <w:spacing w:line="580" w:lineRule="exact"/>
        <w:rPr>
          <w:rFonts w:ascii="宋体" w:hAnsi="宋体"/>
          <w:b/>
          <w:bCs/>
          <w:color w:val="auto"/>
          <w:szCs w:val="21"/>
          <w:highlight w:val="none"/>
        </w:rPr>
      </w:pPr>
      <w:r>
        <w:rPr>
          <w:rFonts w:hint="eastAsia" w:ascii="宋体" w:hAnsi="宋体"/>
          <w:b/>
          <w:color w:val="auto"/>
          <w:szCs w:val="21"/>
          <w:highlight w:val="none"/>
        </w:rPr>
        <w:t>三</w:t>
      </w:r>
      <w:r>
        <w:rPr>
          <w:rFonts w:ascii="宋体" w:hAnsi="宋体"/>
          <w:b/>
          <w:color w:val="auto"/>
          <w:szCs w:val="21"/>
          <w:highlight w:val="none"/>
        </w:rPr>
        <w:t>、</w:t>
      </w:r>
      <w:r>
        <w:rPr>
          <w:rFonts w:hint="eastAsia" w:ascii="宋体" w:hAnsi="宋体"/>
          <w:b/>
          <w:bCs/>
          <w:color w:val="auto"/>
          <w:szCs w:val="21"/>
          <w:highlight w:val="none"/>
        </w:rPr>
        <w:t>咨询</w:t>
      </w:r>
      <w:r>
        <w:rPr>
          <w:rFonts w:hint="eastAsia" w:ascii="宋体" w:hAnsi="宋体"/>
          <w:b/>
          <w:bCs/>
          <w:color w:val="auto"/>
          <w:szCs w:val="21"/>
          <w:highlight w:val="none"/>
        </w:rPr>
        <w:t>内容</w:t>
      </w:r>
    </w:p>
    <w:p>
      <w:pPr>
        <w:widowControl/>
        <w:spacing w:line="580" w:lineRule="exact"/>
        <w:ind w:firstLine="420" w:firstLineChars="200"/>
        <w:rPr>
          <w:rFonts w:cs="仿宋_GB2312" w:asciiTheme="minorEastAsia" w:hAnsiTheme="minorEastAsia" w:eastAsiaTheme="minorEastAsia"/>
          <w:bCs/>
          <w:color w:val="auto"/>
          <w:szCs w:val="21"/>
          <w:highlight w:val="none"/>
        </w:rPr>
      </w:pPr>
      <w:r>
        <w:rPr>
          <w:rFonts w:hint="eastAsia" w:cs="仿宋_GB2312" w:asciiTheme="minorEastAsia" w:hAnsiTheme="minorEastAsia" w:eastAsiaTheme="minorEastAsia"/>
          <w:bCs/>
          <w:color w:val="auto"/>
          <w:szCs w:val="21"/>
          <w:highlight w:val="none"/>
        </w:rPr>
        <w:t>本次咨询的系统是指新一代IT智能监控系统，用于构建以业务为中心的IT基础架构软硬件全栈化监控体系和统一的IT监控告警中心，具有平台开发能力、数据收集与提取层、数据展示与交互层、监控对象管理、监控指标、监控策略、权限控制与管理、审计支持、基础监控、告警基础功能、智能告警、联动管理、行内其它系统对接等功能。</w:t>
      </w:r>
    </w:p>
    <w:p>
      <w:pPr>
        <w:spacing w:line="580" w:lineRule="exact"/>
        <w:ind w:firstLine="105" w:firstLineChars="50"/>
        <w:rPr>
          <w:rFonts w:cs="仿宋_GB2312" w:asciiTheme="minorEastAsia" w:hAnsiTheme="minorEastAsia" w:eastAsiaTheme="minorEastAsia"/>
          <w:color w:val="auto"/>
          <w:szCs w:val="21"/>
          <w:highlight w:val="none"/>
        </w:rPr>
      </w:pPr>
      <w:r>
        <w:rPr>
          <w:rFonts w:hint="eastAsia" w:cs="楷体_GB2312" w:asciiTheme="minorEastAsia" w:hAnsiTheme="minorEastAsia" w:eastAsiaTheme="minorEastAsia"/>
          <w:color w:val="auto"/>
          <w:szCs w:val="21"/>
          <w:highlight w:val="none"/>
        </w:rPr>
        <w:t>（一）</w:t>
      </w:r>
      <w:r>
        <w:rPr>
          <w:rFonts w:hint="eastAsia" w:cs="仿宋_GB2312" w:asciiTheme="minorEastAsia" w:hAnsiTheme="minorEastAsia" w:eastAsiaTheme="minorEastAsia"/>
          <w:bCs/>
          <w:color w:val="auto"/>
          <w:szCs w:val="21"/>
          <w:highlight w:val="none"/>
        </w:rPr>
        <w:t>新一代IT智能监控系统</w:t>
      </w:r>
      <w:r>
        <w:rPr>
          <w:rFonts w:hint="eastAsia" w:cs="楷体_GB2312" w:asciiTheme="minorEastAsia" w:hAnsiTheme="minorEastAsia" w:eastAsiaTheme="minorEastAsia"/>
          <w:color w:val="auto"/>
          <w:szCs w:val="21"/>
          <w:highlight w:val="none"/>
        </w:rPr>
        <w:t>功能</w:t>
      </w:r>
      <w:r>
        <w:rPr>
          <w:rFonts w:hint="eastAsia" w:cs="仿宋_GB2312" w:asciiTheme="minorEastAsia" w:hAnsiTheme="minorEastAsia" w:eastAsiaTheme="minorEastAsia"/>
          <w:color w:val="auto"/>
          <w:szCs w:val="21"/>
          <w:highlight w:val="none"/>
        </w:rPr>
        <w:t>业务需求如下：</w:t>
      </w:r>
    </w:p>
    <w:tbl>
      <w:tblPr>
        <w:tblStyle w:val="11"/>
        <w:tblW w:w="9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5"/>
        <w:gridCol w:w="1134"/>
        <w:gridCol w:w="6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595" w:type="dxa"/>
            <w:shd w:val="clear" w:color="000000" w:fill="FFFFFF"/>
            <w:vAlign w:val="center"/>
          </w:tcPr>
          <w:p>
            <w:pPr>
              <w:widowControl/>
              <w:spacing w:line="300" w:lineRule="exact"/>
              <w:jc w:val="center"/>
              <w:rPr>
                <w:rFonts w:cs="仿宋_GB2312" w:asciiTheme="minorEastAsia" w:hAnsiTheme="minorEastAsia" w:eastAsiaTheme="minorEastAsia"/>
                <w:b/>
                <w:bCs/>
                <w:color w:val="auto"/>
                <w:kern w:val="0"/>
                <w:szCs w:val="21"/>
                <w:highlight w:val="none"/>
              </w:rPr>
            </w:pPr>
            <w:r>
              <w:rPr>
                <w:rFonts w:hint="eastAsia" w:cs="仿宋_GB2312" w:asciiTheme="minorEastAsia" w:hAnsiTheme="minorEastAsia" w:eastAsiaTheme="minorEastAsia"/>
                <w:b/>
                <w:bCs/>
                <w:color w:val="auto"/>
                <w:kern w:val="0"/>
                <w:szCs w:val="21"/>
                <w:highlight w:val="none"/>
              </w:rPr>
              <w:t>类型</w:t>
            </w:r>
          </w:p>
        </w:tc>
        <w:tc>
          <w:tcPr>
            <w:tcW w:w="1134" w:type="dxa"/>
            <w:shd w:val="clear" w:color="000000" w:fill="FFFFFF"/>
            <w:vAlign w:val="center"/>
          </w:tcPr>
          <w:p>
            <w:pPr>
              <w:widowControl/>
              <w:spacing w:line="300" w:lineRule="exact"/>
              <w:jc w:val="center"/>
              <w:rPr>
                <w:rFonts w:cs="仿宋_GB2312" w:asciiTheme="minorEastAsia" w:hAnsiTheme="minorEastAsia" w:eastAsiaTheme="minorEastAsia"/>
                <w:b/>
                <w:bCs/>
                <w:color w:val="auto"/>
                <w:kern w:val="0"/>
                <w:szCs w:val="21"/>
                <w:highlight w:val="none"/>
              </w:rPr>
            </w:pPr>
            <w:r>
              <w:rPr>
                <w:rFonts w:hint="eastAsia" w:cs="仿宋_GB2312" w:asciiTheme="minorEastAsia" w:hAnsiTheme="minorEastAsia" w:eastAsiaTheme="minorEastAsia"/>
                <w:b/>
                <w:bCs/>
                <w:color w:val="auto"/>
                <w:kern w:val="0"/>
                <w:szCs w:val="21"/>
                <w:highlight w:val="none"/>
              </w:rPr>
              <w:t>功能</w:t>
            </w:r>
          </w:p>
        </w:tc>
        <w:tc>
          <w:tcPr>
            <w:tcW w:w="6526" w:type="dxa"/>
            <w:shd w:val="clear" w:color="000000" w:fill="FFFFFF"/>
            <w:vAlign w:val="center"/>
          </w:tcPr>
          <w:p>
            <w:pPr>
              <w:widowControl/>
              <w:spacing w:line="300" w:lineRule="exact"/>
              <w:jc w:val="center"/>
              <w:rPr>
                <w:rFonts w:cs="仿宋_GB2312" w:asciiTheme="minorEastAsia" w:hAnsiTheme="minorEastAsia" w:eastAsiaTheme="minorEastAsia"/>
                <w:b/>
                <w:bCs/>
                <w:color w:val="auto"/>
                <w:kern w:val="0"/>
                <w:szCs w:val="21"/>
                <w:highlight w:val="none"/>
              </w:rPr>
            </w:pPr>
            <w:r>
              <w:rPr>
                <w:rFonts w:hint="eastAsia" w:cs="仿宋_GB2312" w:asciiTheme="minorEastAsia" w:hAnsiTheme="minorEastAsia" w:eastAsiaTheme="minorEastAsia"/>
                <w:b/>
                <w:bCs/>
                <w:color w:val="auto"/>
                <w:kern w:val="0"/>
                <w:szCs w:val="21"/>
                <w:highlight w:val="none"/>
              </w:rPr>
              <w:t>需求说明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5" w:type="dxa"/>
            <w:vMerge w:val="restart"/>
            <w:shd w:val="clear" w:color="000000" w:fill="FFFFFF"/>
            <w:vAlign w:val="center"/>
          </w:tcPr>
          <w:p>
            <w:pPr>
              <w:widowControl/>
              <w:spacing w:line="300" w:lineRule="exact"/>
              <w:jc w:val="left"/>
              <w:rPr>
                <w:rFonts w:cs="仿宋_GB2312" w:asciiTheme="minorEastAsia" w:hAnsiTheme="minorEastAsia" w:eastAsiaTheme="minorEastAsia"/>
                <w:color w:val="auto"/>
                <w:kern w:val="0"/>
                <w:szCs w:val="21"/>
                <w:highlight w:val="none"/>
              </w:rPr>
            </w:pPr>
            <w:r>
              <w:rPr>
                <w:rFonts w:hint="eastAsia" w:cs="仿宋_GB2312" w:asciiTheme="minorEastAsia" w:hAnsiTheme="minorEastAsia" w:eastAsiaTheme="minorEastAsia"/>
                <w:color w:val="auto"/>
                <w:kern w:val="0"/>
                <w:szCs w:val="21"/>
                <w:highlight w:val="none"/>
              </w:rPr>
              <w:t>一体化监控产品（公共基础平台）</w:t>
            </w:r>
          </w:p>
        </w:tc>
        <w:tc>
          <w:tcPr>
            <w:tcW w:w="1134" w:type="dxa"/>
            <w:shd w:val="clear" w:color="000000" w:fill="FFFFFF"/>
            <w:vAlign w:val="center"/>
          </w:tcPr>
          <w:p>
            <w:pPr>
              <w:spacing w:line="30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Cs/>
                <w:color w:val="auto"/>
                <w:szCs w:val="21"/>
                <w:highlight w:val="none"/>
              </w:rPr>
              <w:t>平台开发能力</w:t>
            </w:r>
          </w:p>
        </w:tc>
        <w:tc>
          <w:tcPr>
            <w:tcW w:w="6526" w:type="dxa"/>
            <w:shd w:val="clear" w:color="000000" w:fill="FFFFFF"/>
            <w:vAlign w:val="center"/>
          </w:tcPr>
          <w:p>
            <w:pPr>
              <w:tabs>
                <w:tab w:val="left" w:pos="312"/>
              </w:tabs>
              <w:spacing w:line="300" w:lineRule="exac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1.具备实现对信息系统软硬件指标进行全栈监控的专业监控能力，具体包括但不限于应用、操作系统、数据库、中间件、服务器、存储、网络设备等，其中设备类应支持带外监控模式。</w:t>
            </w:r>
          </w:p>
          <w:p>
            <w:pPr>
              <w:tabs>
                <w:tab w:val="left" w:pos="312"/>
              </w:tabs>
              <w:spacing w:line="300" w:lineRule="exac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2.具备完备的相对独立的统一告警中心以支撑实现企业级的全行统一告警中心的建立。</w:t>
            </w:r>
          </w:p>
          <w:p>
            <w:pPr>
              <w:tabs>
                <w:tab w:val="left" w:pos="312"/>
              </w:tabs>
              <w:spacing w:line="300" w:lineRule="exac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3.具备监控报表的快速设计与二次开发能力。</w:t>
            </w:r>
          </w:p>
          <w:p>
            <w:pPr>
              <w:tabs>
                <w:tab w:val="left" w:pos="312"/>
              </w:tabs>
              <w:spacing w:line="300" w:lineRule="exac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4.具备标准化监控视图或看板，并支持用户的快速配置和个性化页面的二次开发与扩展。</w:t>
            </w:r>
          </w:p>
          <w:p>
            <w:pPr>
              <w:tabs>
                <w:tab w:val="left" w:pos="312"/>
              </w:tabs>
              <w:spacing w:line="300" w:lineRule="exac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5.具备较好的开放性和集成能力，提供丰富的API开放给行内其它系统和第三方监控产品（含商业产品和Prometheus、zabbix等开源产品）作为数据源以实现数据采集和告警的消费及双向联动；对第三方监控产品的数据汇聚方式应具备被动接收和主动拉取两种方式，且用户可在平台通过配置或脚本对汇聚后的数据进行解析和增加指标；对外部告警信息应具备二次加工后再告警能力；能够支持行内应用系统实现个性化监控的快速接入和集成。</w:t>
            </w:r>
          </w:p>
          <w:p>
            <w:pPr>
              <w:tabs>
                <w:tab w:val="left" w:pos="312"/>
              </w:tabs>
              <w:spacing w:line="30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Cs/>
                <w:color w:val="auto"/>
                <w:szCs w:val="21"/>
                <w:highlight w:val="none"/>
              </w:rPr>
              <w:t>6.支持对行内的CMDB产品进行深度API消费和联动。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5" w:type="dxa"/>
            <w:vMerge w:val="continue"/>
            <w:shd w:val="clear" w:color="000000" w:fill="FFFFFF"/>
            <w:vAlign w:val="center"/>
          </w:tcPr>
          <w:p>
            <w:pPr>
              <w:widowControl/>
              <w:spacing w:line="300" w:lineRule="exact"/>
              <w:jc w:val="left"/>
              <w:rPr>
                <w:rFonts w:cs="仿宋_GB2312" w:asciiTheme="minorEastAsia" w:hAnsiTheme="minorEastAsia" w:eastAsiaTheme="minorEastAsia"/>
                <w:color w:val="auto"/>
                <w:kern w:val="0"/>
                <w:szCs w:val="21"/>
                <w:highlight w:val="none"/>
              </w:rPr>
            </w:pPr>
          </w:p>
        </w:tc>
        <w:tc>
          <w:tcPr>
            <w:tcW w:w="1134" w:type="dxa"/>
            <w:shd w:val="clear" w:color="000000" w:fill="FFFFFF"/>
            <w:vAlign w:val="center"/>
          </w:tcPr>
          <w:p>
            <w:pPr>
              <w:spacing w:line="30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Cs/>
                <w:color w:val="auto"/>
                <w:szCs w:val="21"/>
                <w:highlight w:val="none"/>
              </w:rPr>
              <w:t>数据收集与提取层</w:t>
            </w:r>
          </w:p>
        </w:tc>
        <w:tc>
          <w:tcPr>
            <w:tcW w:w="6526" w:type="dxa"/>
            <w:shd w:val="clear" w:color="000000" w:fill="FFFFFF"/>
            <w:vAlign w:val="center"/>
          </w:tcPr>
          <w:p>
            <w:pPr>
              <w:tabs>
                <w:tab w:val="left" w:pos="312"/>
              </w:tabs>
              <w:spacing w:line="300" w:lineRule="exac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1.支持Agent、SYSLOG、SNMP、ODBC、JDBC、HTTP、TCP、FLUME、SSH、FTP、脚本、API等采集方式。</w:t>
            </w:r>
          </w:p>
          <w:p>
            <w:pPr>
              <w:tabs>
                <w:tab w:val="left" w:pos="312"/>
              </w:tabs>
              <w:spacing w:line="300" w:lineRule="exac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2.标准采集、个性化采集可在平台进行配置化或脚本化定义、管理与维护。</w:t>
            </w:r>
          </w:p>
          <w:p>
            <w:pPr>
              <w:pStyle w:val="2"/>
              <w:spacing w:line="300" w:lineRule="exact"/>
              <w:ind w:firstLine="0" w:firstLineChars="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highlight w:val="none"/>
              </w:rPr>
              <w:t>3.采集的数据可进行规格化和过滤处理。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5" w:type="dxa"/>
            <w:vMerge w:val="continue"/>
            <w:shd w:val="clear" w:color="000000" w:fill="FFFFFF"/>
            <w:vAlign w:val="center"/>
          </w:tcPr>
          <w:p>
            <w:pPr>
              <w:widowControl/>
              <w:spacing w:line="300" w:lineRule="exact"/>
              <w:jc w:val="left"/>
              <w:rPr>
                <w:rFonts w:cs="仿宋_GB2312" w:asciiTheme="minorEastAsia" w:hAnsiTheme="minorEastAsia" w:eastAsiaTheme="minorEastAsia"/>
                <w:color w:val="auto"/>
                <w:kern w:val="0"/>
                <w:szCs w:val="21"/>
                <w:highlight w:val="none"/>
              </w:rPr>
            </w:pPr>
          </w:p>
        </w:tc>
        <w:tc>
          <w:tcPr>
            <w:tcW w:w="1134" w:type="dxa"/>
            <w:shd w:val="clear" w:color="000000" w:fill="FFFFFF"/>
            <w:vAlign w:val="center"/>
          </w:tcPr>
          <w:p>
            <w:pPr>
              <w:spacing w:line="30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Cs/>
                <w:color w:val="auto"/>
                <w:szCs w:val="21"/>
                <w:highlight w:val="none"/>
              </w:rPr>
              <w:t>数据展示与交互层</w:t>
            </w:r>
          </w:p>
        </w:tc>
        <w:tc>
          <w:tcPr>
            <w:tcW w:w="6526" w:type="dxa"/>
            <w:shd w:val="clear" w:color="000000" w:fill="FFFFFF"/>
            <w:vAlign w:val="center"/>
          </w:tcPr>
          <w:p>
            <w:pPr>
              <w:tabs>
                <w:tab w:val="left" w:pos="312"/>
              </w:tabs>
              <w:spacing w:line="300" w:lineRule="exac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1.具备开箱即用的监控视图或看板，以满足领导、团队、个人三级可视化需求，并可根据具体的场景进行快速配置化定义或个性化二次开发与扩展。</w:t>
            </w:r>
          </w:p>
          <w:p>
            <w:pPr>
              <w:tabs>
                <w:tab w:val="left" w:pos="312"/>
              </w:tabs>
              <w:spacing w:line="300" w:lineRule="exac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2.具备移动端的界面或可集成到行内其它移动端应用进行监控视图的展示以及告警的展示和处理。</w:t>
            </w:r>
          </w:p>
          <w:p>
            <w:pPr>
              <w:tabs>
                <w:tab w:val="left" w:pos="312"/>
              </w:tabs>
              <w:spacing w:line="300" w:lineRule="exac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3.支持基于CMDB对象关联关系的拓扑化展示。</w:t>
            </w:r>
          </w:p>
          <w:p>
            <w:pPr>
              <w:tabs>
                <w:tab w:val="left" w:pos="312"/>
              </w:tabs>
              <w:spacing w:line="30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Cs/>
                <w:color w:val="auto"/>
                <w:szCs w:val="21"/>
                <w:highlight w:val="none"/>
              </w:rPr>
              <w:t>4.支持按照不同用户、角色、组织、对象、指标、来源、级别等维度进行各类指标数据和告警数据的查询、统计和自定义报表；支持数据聚合、汇总、趋势和历史数据查询。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5" w:type="dxa"/>
            <w:vMerge w:val="continue"/>
            <w:shd w:val="clear" w:color="000000" w:fill="FFFFFF"/>
            <w:vAlign w:val="center"/>
          </w:tcPr>
          <w:p>
            <w:pPr>
              <w:widowControl/>
              <w:spacing w:line="300" w:lineRule="exact"/>
              <w:jc w:val="left"/>
              <w:rPr>
                <w:rFonts w:cs="仿宋_GB2312" w:asciiTheme="minorEastAsia" w:hAnsiTheme="minorEastAsia" w:eastAsiaTheme="minorEastAsia"/>
                <w:color w:val="auto"/>
                <w:kern w:val="0"/>
                <w:szCs w:val="21"/>
                <w:highlight w:val="none"/>
              </w:rPr>
            </w:pPr>
          </w:p>
        </w:tc>
        <w:tc>
          <w:tcPr>
            <w:tcW w:w="1134" w:type="dxa"/>
            <w:shd w:val="clear" w:color="000000" w:fill="FFFFFF"/>
            <w:vAlign w:val="center"/>
          </w:tcPr>
          <w:p>
            <w:pPr>
              <w:spacing w:line="300" w:lineRule="exac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监控对象管理</w:t>
            </w:r>
          </w:p>
        </w:tc>
        <w:tc>
          <w:tcPr>
            <w:tcW w:w="6526" w:type="dxa"/>
            <w:shd w:val="clear" w:color="000000" w:fill="FFFFFF"/>
            <w:vAlign w:val="center"/>
          </w:tcPr>
          <w:p>
            <w:pPr>
              <w:tabs>
                <w:tab w:val="left" w:pos="312"/>
              </w:tabs>
              <w:spacing w:line="300" w:lineRule="exac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1.支持自定义监控对象、规则和属性等。</w:t>
            </w:r>
          </w:p>
          <w:p>
            <w:pPr>
              <w:tabs>
                <w:tab w:val="left" w:pos="312"/>
              </w:tabs>
              <w:spacing w:line="300" w:lineRule="exac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2.对象数据及关联关系优先从行内CMDB获取，并可进行维护。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5" w:type="dxa"/>
            <w:vMerge w:val="continue"/>
            <w:shd w:val="clear" w:color="000000" w:fill="FFFFFF"/>
            <w:vAlign w:val="center"/>
          </w:tcPr>
          <w:p>
            <w:pPr>
              <w:widowControl/>
              <w:spacing w:line="300" w:lineRule="exact"/>
              <w:jc w:val="left"/>
              <w:rPr>
                <w:rFonts w:cs="仿宋_GB2312" w:asciiTheme="minorEastAsia" w:hAnsiTheme="minorEastAsia" w:eastAsiaTheme="minorEastAsia"/>
                <w:color w:val="auto"/>
                <w:kern w:val="0"/>
                <w:szCs w:val="21"/>
                <w:highlight w:val="none"/>
              </w:rPr>
            </w:pPr>
          </w:p>
        </w:tc>
        <w:tc>
          <w:tcPr>
            <w:tcW w:w="1134" w:type="dxa"/>
            <w:shd w:val="clear" w:color="000000" w:fill="FFFFFF"/>
            <w:vAlign w:val="center"/>
          </w:tcPr>
          <w:p>
            <w:pPr>
              <w:spacing w:line="300" w:lineRule="exac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监控指标</w:t>
            </w:r>
          </w:p>
        </w:tc>
        <w:tc>
          <w:tcPr>
            <w:tcW w:w="6526" w:type="dxa"/>
            <w:shd w:val="clear" w:color="000000" w:fill="FFFFFF"/>
            <w:vAlign w:val="center"/>
          </w:tcPr>
          <w:p>
            <w:pPr>
              <w:tabs>
                <w:tab w:val="left" w:pos="312"/>
              </w:tabs>
              <w:spacing w:line="300" w:lineRule="exac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支持标准指标、个性化指标的可配置化自由定义、添加、管理与维护。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5" w:type="dxa"/>
            <w:vMerge w:val="continue"/>
            <w:shd w:val="clear" w:color="000000" w:fill="FFFFFF"/>
            <w:vAlign w:val="center"/>
          </w:tcPr>
          <w:p>
            <w:pPr>
              <w:widowControl/>
              <w:spacing w:line="300" w:lineRule="exact"/>
              <w:jc w:val="left"/>
              <w:rPr>
                <w:rFonts w:cs="仿宋_GB2312" w:asciiTheme="minorEastAsia" w:hAnsiTheme="minorEastAsia" w:eastAsiaTheme="minorEastAsia"/>
                <w:color w:val="auto"/>
                <w:kern w:val="0"/>
                <w:szCs w:val="21"/>
                <w:highlight w:val="none"/>
              </w:rPr>
            </w:pPr>
          </w:p>
        </w:tc>
        <w:tc>
          <w:tcPr>
            <w:tcW w:w="1134" w:type="dxa"/>
            <w:shd w:val="clear" w:color="000000" w:fill="FFFFFF"/>
            <w:vAlign w:val="center"/>
          </w:tcPr>
          <w:p>
            <w:pPr>
              <w:spacing w:line="300" w:lineRule="exac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监控策略</w:t>
            </w:r>
          </w:p>
        </w:tc>
        <w:tc>
          <w:tcPr>
            <w:tcW w:w="6526" w:type="dxa"/>
            <w:shd w:val="clear" w:color="000000" w:fill="FFFFFF"/>
            <w:vAlign w:val="center"/>
          </w:tcPr>
          <w:p>
            <w:pPr>
              <w:tabs>
                <w:tab w:val="left" w:pos="312"/>
              </w:tabs>
              <w:spacing w:line="300" w:lineRule="exac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支持标准策略、个性化策略的可配置化定义、添加、管理与维护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5" w:type="dxa"/>
            <w:vMerge w:val="continue"/>
            <w:shd w:val="clear" w:color="000000" w:fill="FFFFFF"/>
            <w:vAlign w:val="center"/>
          </w:tcPr>
          <w:p>
            <w:pPr>
              <w:widowControl/>
              <w:spacing w:line="300" w:lineRule="exact"/>
              <w:jc w:val="left"/>
              <w:rPr>
                <w:rFonts w:cs="仿宋_GB2312" w:asciiTheme="minorEastAsia" w:hAnsiTheme="minorEastAsia" w:eastAsiaTheme="minorEastAsia"/>
                <w:color w:val="auto"/>
                <w:kern w:val="0"/>
                <w:szCs w:val="21"/>
                <w:highlight w:val="none"/>
              </w:rPr>
            </w:pPr>
          </w:p>
        </w:tc>
        <w:tc>
          <w:tcPr>
            <w:tcW w:w="1134" w:type="dxa"/>
            <w:shd w:val="clear" w:color="000000" w:fill="FFFFFF"/>
            <w:vAlign w:val="center"/>
          </w:tcPr>
          <w:p>
            <w:pPr>
              <w:spacing w:line="300" w:lineRule="exac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权限控制与管理</w:t>
            </w:r>
          </w:p>
        </w:tc>
        <w:tc>
          <w:tcPr>
            <w:tcW w:w="6526" w:type="dxa"/>
            <w:shd w:val="clear" w:color="000000" w:fill="FFFFFF"/>
            <w:vAlign w:val="center"/>
          </w:tcPr>
          <w:p>
            <w:pPr>
              <w:tabs>
                <w:tab w:val="left" w:pos="312"/>
              </w:tabs>
              <w:spacing w:line="300" w:lineRule="exac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具备基于用户、角色等不同维度的细粒度权限控制与管理功能。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5" w:type="dxa"/>
            <w:vMerge w:val="continue"/>
            <w:shd w:val="clear" w:color="000000" w:fill="FFFFFF"/>
            <w:vAlign w:val="center"/>
          </w:tcPr>
          <w:p>
            <w:pPr>
              <w:widowControl/>
              <w:spacing w:line="300" w:lineRule="exact"/>
              <w:jc w:val="left"/>
              <w:rPr>
                <w:rFonts w:cs="仿宋_GB2312" w:asciiTheme="minorEastAsia" w:hAnsiTheme="minorEastAsia" w:eastAsiaTheme="minorEastAsia"/>
                <w:color w:val="auto"/>
                <w:kern w:val="0"/>
                <w:szCs w:val="21"/>
                <w:highlight w:val="none"/>
              </w:rPr>
            </w:pPr>
          </w:p>
        </w:tc>
        <w:tc>
          <w:tcPr>
            <w:tcW w:w="1134" w:type="dxa"/>
            <w:shd w:val="clear" w:color="000000" w:fill="FFFFFF"/>
            <w:vAlign w:val="center"/>
          </w:tcPr>
          <w:p>
            <w:pPr>
              <w:spacing w:line="300" w:lineRule="exac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审计支持</w:t>
            </w:r>
          </w:p>
        </w:tc>
        <w:tc>
          <w:tcPr>
            <w:tcW w:w="6526" w:type="dxa"/>
            <w:shd w:val="clear" w:color="000000" w:fill="FFFFFF"/>
            <w:vAlign w:val="center"/>
          </w:tcPr>
          <w:p>
            <w:pPr>
              <w:tabs>
                <w:tab w:val="left" w:pos="312"/>
              </w:tabs>
              <w:spacing w:line="300" w:lineRule="exac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系统需提供必要的系统审计功能。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5" w:type="dxa"/>
            <w:shd w:val="clear" w:color="000000" w:fill="FFFFFF"/>
            <w:vAlign w:val="center"/>
          </w:tcPr>
          <w:p>
            <w:pPr>
              <w:spacing w:line="300" w:lineRule="exact"/>
              <w:rPr>
                <w:rFonts w:cs="仿宋_GB2312" w:asciiTheme="minorEastAsia" w:hAnsiTheme="minorEastAsia" w:eastAsiaTheme="minorEastAsia"/>
                <w:color w:val="auto"/>
                <w:kern w:val="0"/>
                <w:szCs w:val="21"/>
                <w:highlight w:val="none"/>
              </w:rPr>
            </w:pPr>
            <w:r>
              <w:rPr>
                <w:rFonts w:hint="eastAsia" w:ascii="等线" w:hAnsi="等线" w:cs="宋体"/>
                <w:bCs/>
                <w:color w:val="auto"/>
                <w:szCs w:val="21"/>
                <w:highlight w:val="none"/>
              </w:rPr>
              <w:t>基础监控产品（专业监控）</w:t>
            </w:r>
          </w:p>
        </w:tc>
        <w:tc>
          <w:tcPr>
            <w:tcW w:w="1134" w:type="dxa"/>
            <w:shd w:val="clear" w:color="000000" w:fill="FFFFFF"/>
            <w:vAlign w:val="center"/>
          </w:tcPr>
          <w:p>
            <w:pPr>
              <w:spacing w:line="300" w:lineRule="exac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基础监控</w:t>
            </w:r>
          </w:p>
        </w:tc>
        <w:tc>
          <w:tcPr>
            <w:tcW w:w="6526" w:type="dxa"/>
            <w:shd w:val="clear" w:color="000000" w:fill="FFFFFF"/>
            <w:vAlign w:val="center"/>
          </w:tcPr>
          <w:p>
            <w:pPr>
              <w:tabs>
                <w:tab w:val="left" w:pos="312"/>
              </w:tabs>
              <w:spacing w:line="300" w:lineRule="exac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1.具备相对独立的基础监控产品模块，针对以下软硬件类型的基础监控指标具备开箱即用的功能：</w:t>
            </w:r>
          </w:p>
          <w:p>
            <w:pPr>
              <w:tabs>
                <w:tab w:val="left" w:pos="312"/>
              </w:tabs>
              <w:spacing w:line="300" w:lineRule="exac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（1）网络及安全设备（包括但不限于主流厂商的交换机、防火墙、SSL、F5等设备）；</w:t>
            </w:r>
          </w:p>
          <w:p>
            <w:pPr>
              <w:tabs>
                <w:tab w:val="left" w:pos="312"/>
              </w:tabs>
              <w:spacing w:line="300" w:lineRule="exac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（2）主流厂商的存储设备；</w:t>
            </w:r>
          </w:p>
          <w:p>
            <w:pPr>
              <w:tabs>
                <w:tab w:val="left" w:pos="312"/>
              </w:tabs>
              <w:spacing w:line="300" w:lineRule="exac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（3）主流厂商的服务器硬件（包括小型机、x86、ARM等）；</w:t>
            </w:r>
          </w:p>
          <w:p>
            <w:pPr>
              <w:tabs>
                <w:tab w:val="left" w:pos="312"/>
              </w:tabs>
              <w:spacing w:line="300" w:lineRule="exac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（4）操作系统（包括但不限于linux、AIX、windows、esxi、麒麟、统信等）；</w:t>
            </w:r>
          </w:p>
          <w:p>
            <w:pPr>
              <w:tabs>
                <w:tab w:val="left" w:pos="312"/>
              </w:tabs>
              <w:spacing w:line="300" w:lineRule="exac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（5）中间件（包括但不限于IBM WAS、IBM MQ、tomcat、nginx、apache、Zookeeper、kafka、RabbitMQ、东方通、中创等）；</w:t>
            </w:r>
          </w:p>
          <w:p>
            <w:pPr>
              <w:tabs>
                <w:tab w:val="left" w:pos="312"/>
              </w:tabs>
              <w:spacing w:line="300" w:lineRule="exac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（6）数据库（包括但不限于DB2、oracle、mysql、tdsql、redis、ES、MongoDB等）；</w:t>
            </w:r>
          </w:p>
          <w:p>
            <w:pPr>
              <w:tabs>
                <w:tab w:val="left" w:pos="312"/>
              </w:tabs>
              <w:spacing w:line="300" w:lineRule="exac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（7）JVM及主流开源组件等。</w:t>
            </w:r>
          </w:p>
          <w:p>
            <w:pPr>
              <w:pStyle w:val="2"/>
              <w:spacing w:line="300" w:lineRule="exact"/>
              <w:ind w:firstLine="0" w:firstLineChars="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highlight w:val="none"/>
              </w:rPr>
              <w:t>2.支持在基础指标的基础上可以自由添加和定义其它个性化指标。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5" w:type="dxa"/>
            <w:vMerge w:val="restart"/>
            <w:shd w:val="clear" w:color="000000" w:fill="FFFFFF"/>
            <w:vAlign w:val="center"/>
          </w:tcPr>
          <w:p>
            <w:pPr>
              <w:spacing w:line="300" w:lineRule="exact"/>
              <w:rPr>
                <w:rFonts w:cs="仿宋_GB2312" w:asciiTheme="minorEastAsia" w:hAnsiTheme="minorEastAsia" w:eastAsiaTheme="minorEastAsia"/>
                <w:color w:val="auto"/>
                <w:kern w:val="0"/>
                <w:szCs w:val="21"/>
                <w:highlight w:val="none"/>
              </w:rPr>
            </w:pPr>
            <w:r>
              <w:rPr>
                <w:rFonts w:hint="eastAsia" w:ascii="等线" w:hAnsi="等线" w:cs="宋体"/>
                <w:bCs/>
                <w:color w:val="auto"/>
                <w:szCs w:val="21"/>
                <w:highlight w:val="none"/>
              </w:rPr>
              <w:t>统一告警中心</w:t>
            </w:r>
          </w:p>
        </w:tc>
        <w:tc>
          <w:tcPr>
            <w:tcW w:w="1134" w:type="dxa"/>
            <w:shd w:val="clear" w:color="000000" w:fill="FFFFFF"/>
            <w:vAlign w:val="center"/>
          </w:tcPr>
          <w:p>
            <w:pPr>
              <w:spacing w:line="300" w:lineRule="exac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告警基础功能</w:t>
            </w:r>
          </w:p>
        </w:tc>
        <w:tc>
          <w:tcPr>
            <w:tcW w:w="6526" w:type="dxa"/>
            <w:shd w:val="clear" w:color="000000" w:fill="FFFFFF"/>
            <w:vAlign w:val="center"/>
          </w:tcPr>
          <w:p>
            <w:pPr>
              <w:tabs>
                <w:tab w:val="left" w:pos="312"/>
              </w:tabs>
              <w:spacing w:line="300" w:lineRule="exac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有相对独立的告警产品模块，并具备以下基础功能：</w:t>
            </w:r>
          </w:p>
          <w:p>
            <w:pPr>
              <w:tabs>
                <w:tab w:val="left" w:pos="312"/>
              </w:tabs>
              <w:spacing w:line="300" w:lineRule="exac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1.实现各类监控源的告警事件的采集、压缩与收敛、关联、屏蔽、通知、认领、升降级、定位分析、应急处置、解除、回调、误告标注、归档等环节的告警全生命周期管理。</w:t>
            </w:r>
          </w:p>
          <w:p>
            <w:pPr>
              <w:tabs>
                <w:tab w:val="left" w:pos="312"/>
              </w:tabs>
              <w:spacing w:line="300" w:lineRule="exac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2.支持告警分级、动态基线，实现告警策略的精细化和可配置化管理。</w:t>
            </w:r>
          </w:p>
          <w:p>
            <w:pPr>
              <w:tabs>
                <w:tab w:val="left" w:pos="312"/>
              </w:tabs>
              <w:spacing w:line="300" w:lineRule="exac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3.支持基于行内CMDB进行关联关系和交易链路的告警拓扑展示。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5" w:type="dxa"/>
            <w:vMerge w:val="continue"/>
            <w:shd w:val="clear" w:color="000000" w:fill="FFFFFF"/>
            <w:vAlign w:val="center"/>
          </w:tcPr>
          <w:p>
            <w:pPr>
              <w:spacing w:line="300" w:lineRule="exact"/>
              <w:rPr>
                <w:rFonts w:cs="仿宋_GB2312" w:asciiTheme="minorEastAsia" w:hAnsiTheme="minorEastAsia" w:eastAsiaTheme="minorEastAsia"/>
                <w:color w:val="auto"/>
                <w:kern w:val="0"/>
                <w:szCs w:val="21"/>
                <w:highlight w:val="none"/>
              </w:rPr>
            </w:pPr>
          </w:p>
        </w:tc>
        <w:tc>
          <w:tcPr>
            <w:tcW w:w="1134" w:type="dxa"/>
            <w:shd w:val="clear" w:color="000000" w:fill="FFFFFF"/>
            <w:vAlign w:val="center"/>
          </w:tcPr>
          <w:p>
            <w:pPr>
              <w:spacing w:line="300" w:lineRule="exac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智能告警</w:t>
            </w:r>
          </w:p>
        </w:tc>
        <w:tc>
          <w:tcPr>
            <w:tcW w:w="6526" w:type="dxa"/>
            <w:shd w:val="clear" w:color="000000" w:fill="FFFFFF"/>
            <w:vAlign w:val="center"/>
          </w:tcPr>
          <w:p>
            <w:pPr>
              <w:tabs>
                <w:tab w:val="left" w:pos="312"/>
              </w:tabs>
              <w:spacing w:line="300" w:lineRule="exac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支持动态基线、智能基线和告警自愈的实现。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5" w:type="dxa"/>
            <w:vMerge w:val="continue"/>
            <w:shd w:val="clear" w:color="000000" w:fill="FFFFFF"/>
            <w:vAlign w:val="center"/>
          </w:tcPr>
          <w:p>
            <w:pPr>
              <w:spacing w:line="300" w:lineRule="exact"/>
              <w:rPr>
                <w:rFonts w:cs="仿宋_GB2312" w:asciiTheme="minorEastAsia" w:hAnsiTheme="minorEastAsia" w:eastAsiaTheme="minorEastAsia"/>
                <w:color w:val="auto"/>
                <w:kern w:val="0"/>
                <w:szCs w:val="21"/>
                <w:highlight w:val="none"/>
              </w:rPr>
            </w:pPr>
          </w:p>
        </w:tc>
        <w:tc>
          <w:tcPr>
            <w:tcW w:w="1134" w:type="dxa"/>
            <w:shd w:val="clear" w:color="000000" w:fill="FFFFFF"/>
            <w:vAlign w:val="center"/>
          </w:tcPr>
          <w:p>
            <w:pPr>
              <w:spacing w:line="300" w:lineRule="exac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联动管理</w:t>
            </w:r>
          </w:p>
        </w:tc>
        <w:tc>
          <w:tcPr>
            <w:tcW w:w="6526" w:type="dxa"/>
            <w:shd w:val="clear" w:color="000000" w:fill="FFFFFF"/>
            <w:vAlign w:val="center"/>
          </w:tcPr>
          <w:p>
            <w:pPr>
              <w:tabs>
                <w:tab w:val="left" w:pos="312"/>
              </w:tabs>
              <w:spacing w:line="300" w:lineRule="exac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1.支持与工单系统、知识库系统的联动以实现告警事件的处置。</w:t>
            </w:r>
          </w:p>
          <w:p>
            <w:pPr>
              <w:tabs>
                <w:tab w:val="left" w:pos="312"/>
              </w:tabs>
              <w:spacing w:line="300" w:lineRule="exac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2.支持在变更维护期通过计划性报备、联动变更管理工具等方式实现自动告警屏蔽。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5" w:type="dxa"/>
            <w:vMerge w:val="restart"/>
            <w:shd w:val="clear" w:color="000000" w:fill="FFFFFF"/>
            <w:vAlign w:val="center"/>
          </w:tcPr>
          <w:p>
            <w:pPr>
              <w:spacing w:line="300" w:lineRule="exact"/>
              <w:rPr>
                <w:rFonts w:cs="仿宋_GB2312" w:asciiTheme="minorEastAsia" w:hAnsiTheme="minorEastAsia" w:eastAsiaTheme="minorEastAsia"/>
                <w:color w:val="auto"/>
                <w:kern w:val="0"/>
                <w:szCs w:val="21"/>
                <w:highlight w:val="none"/>
              </w:rPr>
            </w:pPr>
            <w:r>
              <w:rPr>
                <w:rFonts w:hint="eastAsia" w:ascii="等线" w:hAnsi="等线" w:cs="宋体"/>
                <w:bCs/>
                <w:color w:val="auto"/>
                <w:szCs w:val="21"/>
                <w:highlight w:val="none"/>
              </w:rPr>
              <w:t>实施内容</w:t>
            </w:r>
          </w:p>
        </w:tc>
        <w:tc>
          <w:tcPr>
            <w:tcW w:w="1134" w:type="dxa"/>
            <w:shd w:val="clear" w:color="000000" w:fill="FFFFFF"/>
            <w:vAlign w:val="center"/>
          </w:tcPr>
          <w:p>
            <w:pPr>
              <w:spacing w:line="300" w:lineRule="exac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基础监控</w:t>
            </w:r>
          </w:p>
        </w:tc>
        <w:tc>
          <w:tcPr>
            <w:tcW w:w="6526" w:type="dxa"/>
            <w:shd w:val="clear" w:color="000000" w:fill="FFFFFF"/>
            <w:vAlign w:val="center"/>
          </w:tcPr>
          <w:p>
            <w:pPr>
              <w:tabs>
                <w:tab w:val="left" w:pos="312"/>
              </w:tabs>
              <w:spacing w:line="300" w:lineRule="exac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实现对已有各类基础软硬件品牌的监控全覆盖。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5" w:type="dxa"/>
            <w:vMerge w:val="continue"/>
            <w:shd w:val="clear" w:color="000000" w:fill="FFFFFF"/>
            <w:vAlign w:val="center"/>
          </w:tcPr>
          <w:p>
            <w:pPr>
              <w:spacing w:line="300" w:lineRule="exact"/>
              <w:rPr>
                <w:rFonts w:cs="仿宋_GB2312" w:asciiTheme="minorEastAsia" w:hAnsiTheme="minorEastAsia" w:eastAsiaTheme="minorEastAsia"/>
                <w:color w:val="auto"/>
                <w:kern w:val="0"/>
                <w:szCs w:val="21"/>
                <w:highlight w:val="none"/>
              </w:rPr>
            </w:pPr>
          </w:p>
        </w:tc>
        <w:tc>
          <w:tcPr>
            <w:tcW w:w="1134" w:type="dxa"/>
            <w:shd w:val="clear" w:color="000000" w:fill="FFFFFF"/>
            <w:vAlign w:val="center"/>
          </w:tcPr>
          <w:p>
            <w:pPr>
              <w:spacing w:line="300" w:lineRule="exac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告警中心</w:t>
            </w:r>
          </w:p>
        </w:tc>
        <w:tc>
          <w:tcPr>
            <w:tcW w:w="6526" w:type="dxa"/>
            <w:shd w:val="clear" w:color="000000" w:fill="FFFFFF"/>
            <w:vAlign w:val="center"/>
          </w:tcPr>
          <w:p>
            <w:pPr>
              <w:tabs>
                <w:tab w:val="left" w:pos="312"/>
              </w:tabs>
              <w:spacing w:line="300" w:lineRule="exac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接入行内统一监控、环境监控、云平台、Mpaas等已有系统实现统一告警。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5" w:type="dxa"/>
            <w:vMerge w:val="continue"/>
            <w:shd w:val="clear" w:color="000000" w:fill="FFFFFF"/>
            <w:vAlign w:val="center"/>
          </w:tcPr>
          <w:p>
            <w:pPr>
              <w:spacing w:line="300" w:lineRule="exact"/>
              <w:rPr>
                <w:rFonts w:cs="仿宋_GB2312" w:asciiTheme="minorEastAsia" w:hAnsiTheme="minorEastAsia" w:eastAsiaTheme="minorEastAsia"/>
                <w:color w:val="auto"/>
                <w:kern w:val="0"/>
                <w:szCs w:val="21"/>
                <w:highlight w:val="none"/>
              </w:rPr>
            </w:pPr>
          </w:p>
        </w:tc>
        <w:tc>
          <w:tcPr>
            <w:tcW w:w="1134" w:type="dxa"/>
            <w:shd w:val="clear" w:color="000000" w:fill="FFFFFF"/>
            <w:vAlign w:val="center"/>
          </w:tcPr>
          <w:p>
            <w:pPr>
              <w:spacing w:line="300" w:lineRule="exac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行内其它系统对接</w:t>
            </w:r>
          </w:p>
        </w:tc>
        <w:tc>
          <w:tcPr>
            <w:tcW w:w="6526" w:type="dxa"/>
            <w:shd w:val="clear" w:color="000000" w:fill="FFFFFF"/>
            <w:vAlign w:val="center"/>
          </w:tcPr>
          <w:p>
            <w:pPr>
              <w:tabs>
                <w:tab w:val="left" w:pos="312"/>
              </w:tabs>
              <w:spacing w:line="300" w:lineRule="exac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对接统一身份安全平台实现单点登录，对接ESB和短信银行实现短信发送，对接科技门户系统实现告警事件工单双向联动。</w:t>
            </w:r>
          </w:p>
        </w:tc>
      </w:tr>
    </w:tbl>
    <w:p>
      <w:pPr>
        <w:spacing w:line="360" w:lineRule="auto"/>
        <w:ind w:firstLine="210" w:firstLineChars="100"/>
        <w:rPr>
          <w:rFonts w:cs="楷体_GB2312" w:asciiTheme="minorEastAsia" w:hAnsiTheme="minorEastAsia" w:eastAsiaTheme="minorEastAsia"/>
          <w:color w:val="auto"/>
          <w:szCs w:val="21"/>
          <w:highlight w:val="none"/>
        </w:rPr>
      </w:pPr>
      <w:r>
        <w:rPr>
          <w:rFonts w:hint="eastAsia" w:cs="楷体_GB2312" w:asciiTheme="minorEastAsia" w:hAnsiTheme="minorEastAsia" w:eastAsiaTheme="minorEastAsia"/>
          <w:color w:val="auto"/>
          <w:szCs w:val="21"/>
          <w:highlight w:val="none"/>
        </w:rPr>
        <w:t>（二）</w:t>
      </w:r>
      <w:r>
        <w:rPr>
          <w:rFonts w:hint="eastAsia" w:cs="楷体_GB2312" w:asciiTheme="minorEastAsia" w:hAnsiTheme="minorEastAsia" w:eastAsiaTheme="minorEastAsia"/>
          <w:color w:val="auto"/>
          <w:szCs w:val="21"/>
          <w:highlight w:val="none"/>
        </w:rPr>
        <w:t>实施内容</w:t>
      </w:r>
      <w:r>
        <w:rPr>
          <w:rFonts w:hint="eastAsia" w:cs="楷体_GB2312" w:asciiTheme="minorEastAsia" w:hAnsiTheme="minorEastAsia" w:eastAsiaTheme="minorEastAsia"/>
          <w:color w:val="auto"/>
          <w:szCs w:val="21"/>
          <w:highlight w:val="none"/>
        </w:rPr>
        <w:t>：</w:t>
      </w:r>
    </w:p>
    <w:p>
      <w:pPr>
        <w:widowControl/>
        <w:spacing w:line="360" w:lineRule="auto"/>
        <w:ind w:firstLine="420" w:firstLineChars="200"/>
        <w:rPr>
          <w:rFonts w:cs="仿宋_GB2312" w:asciiTheme="minorEastAsia" w:hAnsiTheme="minorEastAsia" w:eastAsiaTheme="minorEastAsia"/>
          <w:bCs/>
          <w:color w:val="auto"/>
          <w:szCs w:val="21"/>
          <w:highlight w:val="none"/>
        </w:rPr>
      </w:pPr>
      <w:r>
        <w:rPr>
          <w:rFonts w:hint="eastAsia" w:cs="仿宋_GB2312" w:asciiTheme="minorEastAsia" w:hAnsiTheme="minorEastAsia" w:eastAsiaTheme="minorEastAsia"/>
          <w:bCs/>
          <w:color w:val="auto"/>
          <w:szCs w:val="21"/>
          <w:highlight w:val="none"/>
        </w:rPr>
        <w:t>供应商与采购人签署合同后需负责以下实施工作，供应商应针对这些工作内容提供实施方法、资源计划和时间计划：</w:t>
      </w:r>
    </w:p>
    <w:p>
      <w:pPr>
        <w:widowControl/>
        <w:spacing w:line="360" w:lineRule="auto"/>
        <w:ind w:firstLine="420" w:firstLineChars="200"/>
        <w:rPr>
          <w:rFonts w:cs="仿宋_GB2312" w:asciiTheme="minorEastAsia" w:hAnsiTheme="minorEastAsia" w:eastAsiaTheme="minorEastAsia"/>
          <w:bCs/>
          <w:color w:val="auto"/>
          <w:szCs w:val="21"/>
          <w:highlight w:val="none"/>
        </w:rPr>
      </w:pPr>
      <w:r>
        <w:rPr>
          <w:rFonts w:hint="eastAsia" w:cs="仿宋_GB2312" w:asciiTheme="minorEastAsia" w:hAnsiTheme="minorEastAsia" w:eastAsiaTheme="minorEastAsia"/>
          <w:bCs/>
          <w:color w:val="auto"/>
          <w:szCs w:val="21"/>
          <w:highlight w:val="none"/>
        </w:rPr>
        <w:t>1、根据采购人提出的业务需求，按照采购人的项目管理要求和规范完成本项目系统的软件需求分析、系统设计、功能开发、系统测试与部署（包括开发、测试及生产环境等），并按照采购人CMMI体系规范完成相关文档的编写；</w:t>
      </w:r>
    </w:p>
    <w:p>
      <w:pPr>
        <w:widowControl/>
        <w:spacing w:line="360" w:lineRule="auto"/>
        <w:ind w:firstLine="420" w:firstLineChars="200"/>
        <w:rPr>
          <w:rFonts w:cs="仿宋_GB2312" w:asciiTheme="minorEastAsia" w:hAnsiTheme="minorEastAsia" w:eastAsiaTheme="minorEastAsia"/>
          <w:bCs/>
          <w:color w:val="auto"/>
          <w:szCs w:val="21"/>
          <w:highlight w:val="none"/>
        </w:rPr>
      </w:pPr>
      <w:r>
        <w:rPr>
          <w:rFonts w:hint="eastAsia" w:cs="仿宋_GB2312" w:asciiTheme="minorEastAsia" w:hAnsiTheme="minorEastAsia" w:eastAsiaTheme="minorEastAsia"/>
          <w:bCs/>
          <w:color w:val="auto"/>
          <w:szCs w:val="21"/>
          <w:highlight w:val="none"/>
        </w:rPr>
        <w:t>2、配合采购人其他系统为集成到该系统而进行的改造工作；</w:t>
      </w:r>
    </w:p>
    <w:p>
      <w:pPr>
        <w:widowControl/>
        <w:spacing w:line="360" w:lineRule="auto"/>
        <w:ind w:firstLine="420" w:firstLineChars="200"/>
        <w:rPr>
          <w:rFonts w:cs="仿宋_GB2312" w:asciiTheme="minorEastAsia" w:hAnsiTheme="minorEastAsia" w:eastAsiaTheme="minorEastAsia"/>
          <w:bCs/>
          <w:color w:val="auto"/>
          <w:szCs w:val="21"/>
          <w:highlight w:val="none"/>
        </w:rPr>
      </w:pPr>
      <w:r>
        <w:rPr>
          <w:rFonts w:hint="eastAsia" w:cs="仿宋_GB2312" w:asciiTheme="minorEastAsia" w:hAnsiTheme="minorEastAsia" w:eastAsiaTheme="minorEastAsia"/>
          <w:bCs/>
          <w:color w:val="auto"/>
          <w:szCs w:val="21"/>
          <w:highlight w:val="none"/>
        </w:rPr>
        <w:t>3、知识转移，提供充分的技术培训和业务培训，使得采购人具备该系统的技术掌握能力和应用能力。</w:t>
      </w:r>
    </w:p>
    <w:p>
      <w:pPr>
        <w:widowControl/>
        <w:spacing w:line="360" w:lineRule="auto"/>
        <w:ind w:firstLine="420" w:firstLineChars="200"/>
        <w:rPr>
          <w:rFonts w:cs="仿宋_GB2312" w:asciiTheme="minorEastAsia" w:hAnsiTheme="minorEastAsia" w:eastAsiaTheme="minorEastAsia"/>
          <w:bCs/>
          <w:color w:val="auto"/>
          <w:szCs w:val="21"/>
          <w:highlight w:val="none"/>
        </w:rPr>
      </w:pPr>
      <w:r>
        <w:rPr>
          <w:rFonts w:hint="eastAsia" w:cs="仿宋_GB2312" w:asciiTheme="minorEastAsia" w:hAnsiTheme="minorEastAsia" w:eastAsiaTheme="minorEastAsia"/>
          <w:bCs/>
          <w:color w:val="auto"/>
          <w:szCs w:val="21"/>
          <w:highlight w:val="none"/>
        </w:rPr>
        <w:t>4、项目过程中的技术文档；</w:t>
      </w:r>
    </w:p>
    <w:p>
      <w:pPr>
        <w:widowControl/>
        <w:spacing w:line="360" w:lineRule="auto"/>
        <w:ind w:firstLine="420" w:firstLineChars="200"/>
        <w:rPr>
          <w:rFonts w:cs="仿宋_GB2312" w:asciiTheme="minorEastAsia" w:hAnsiTheme="minorEastAsia" w:eastAsiaTheme="minorEastAsia"/>
          <w:bCs/>
          <w:color w:val="auto"/>
          <w:szCs w:val="21"/>
          <w:highlight w:val="none"/>
        </w:rPr>
      </w:pPr>
      <w:r>
        <w:rPr>
          <w:rFonts w:hint="eastAsia" w:cs="仿宋_GB2312" w:asciiTheme="minorEastAsia" w:hAnsiTheme="minorEastAsia" w:eastAsiaTheme="minorEastAsia"/>
          <w:bCs/>
          <w:color w:val="auto"/>
          <w:szCs w:val="21"/>
          <w:highlight w:val="none"/>
        </w:rPr>
        <w:t>5、针对本系统后续的建设及采购人的监控体系建设提供系统建设方面的规划与咨询；</w:t>
      </w:r>
    </w:p>
    <w:p>
      <w:pPr>
        <w:widowControl/>
        <w:spacing w:line="360" w:lineRule="auto"/>
        <w:ind w:firstLine="420" w:firstLineChars="200"/>
        <w:rPr>
          <w:rFonts w:cs="仿宋_GB2312" w:asciiTheme="minorEastAsia" w:hAnsiTheme="minorEastAsia" w:eastAsiaTheme="minorEastAsia"/>
          <w:bCs/>
          <w:color w:val="auto"/>
          <w:szCs w:val="21"/>
          <w:highlight w:val="none"/>
        </w:rPr>
      </w:pPr>
      <w:r>
        <w:rPr>
          <w:rFonts w:hint="eastAsia" w:cs="仿宋_GB2312" w:asciiTheme="minorEastAsia" w:hAnsiTheme="minorEastAsia" w:eastAsiaTheme="minorEastAsia"/>
          <w:bCs/>
          <w:color w:val="auto"/>
          <w:szCs w:val="21"/>
          <w:highlight w:val="none"/>
        </w:rPr>
        <w:t>6、系统升级维护。</w:t>
      </w:r>
    </w:p>
    <w:p>
      <w:pPr>
        <w:widowControl/>
        <w:spacing w:line="360" w:lineRule="auto"/>
        <w:ind w:firstLine="420" w:firstLineChars="200"/>
        <w:rPr>
          <w:rFonts w:cs="宋体" w:asciiTheme="minorEastAsia" w:hAnsiTheme="minorEastAsia" w:eastAsiaTheme="minorEastAsia"/>
          <w:color w:val="auto"/>
          <w:szCs w:val="21"/>
          <w:highlight w:val="none"/>
        </w:rPr>
      </w:pPr>
      <w:r>
        <w:rPr>
          <w:rFonts w:hint="eastAsia" w:cs="仿宋_GB2312" w:asciiTheme="minorEastAsia" w:hAnsiTheme="minorEastAsia" w:eastAsiaTheme="minorEastAsia"/>
          <w:bCs/>
          <w:color w:val="auto"/>
          <w:szCs w:val="21"/>
          <w:highlight w:val="none"/>
        </w:rPr>
        <w:t>本项目的实施期为约8个月，所有实施内容必须由</w:t>
      </w:r>
      <w:r>
        <w:rPr>
          <w:rFonts w:hint="eastAsia" w:cs="仿宋_GB2312" w:asciiTheme="minorEastAsia" w:hAnsiTheme="minorEastAsia" w:eastAsiaTheme="minorEastAsia"/>
          <w:bCs/>
          <w:color w:val="auto"/>
          <w:szCs w:val="21"/>
          <w:highlight w:val="none"/>
          <w:lang w:eastAsia="zh-CN"/>
        </w:rPr>
        <w:t>供应商</w:t>
      </w:r>
      <w:r>
        <w:rPr>
          <w:rFonts w:hint="eastAsia" w:cs="仿宋_GB2312" w:asciiTheme="minorEastAsia" w:hAnsiTheme="minorEastAsia" w:eastAsiaTheme="minorEastAsia"/>
          <w:bCs/>
          <w:color w:val="auto"/>
          <w:szCs w:val="21"/>
          <w:highlight w:val="none"/>
        </w:rPr>
        <w:t>原厂提供。</w:t>
      </w:r>
    </w:p>
    <w:p>
      <w:pPr>
        <w:spacing w:line="360" w:lineRule="auto"/>
        <w:rPr>
          <w:rFonts w:ascii="宋体" w:hAnsi="宋体" w:cs="宋体"/>
          <w:b/>
          <w:bCs/>
          <w:color w:val="auto"/>
          <w:szCs w:val="21"/>
          <w:highlight w:val="none"/>
        </w:rPr>
      </w:pPr>
      <w:r>
        <w:rPr>
          <w:rFonts w:hint="eastAsia" w:ascii="宋体" w:hAnsi="宋体"/>
          <w:b/>
          <w:bCs/>
          <w:color w:val="auto"/>
          <w:szCs w:val="21"/>
          <w:highlight w:val="none"/>
        </w:rPr>
        <w:t>四、</w:t>
      </w:r>
      <w:r>
        <w:rPr>
          <w:rFonts w:hint="eastAsia" w:ascii="宋体" w:hAnsi="宋体" w:cs="宋体"/>
          <w:b/>
          <w:bCs/>
          <w:color w:val="auto"/>
          <w:szCs w:val="21"/>
          <w:highlight w:val="none"/>
        </w:rPr>
        <w:t>项目总体服务要求</w:t>
      </w:r>
    </w:p>
    <w:p>
      <w:pPr>
        <w:spacing w:line="360" w:lineRule="auto"/>
        <w:ind w:firstLine="422" w:firstLineChars="200"/>
        <w:rPr>
          <w:rFonts w:cs="楷体_GB2312" w:asciiTheme="minorEastAsia" w:hAnsiTheme="minorEastAsia" w:eastAsiaTheme="minorEastAsia"/>
          <w:b/>
          <w:bCs/>
          <w:color w:val="auto"/>
          <w:kern w:val="28"/>
          <w:szCs w:val="21"/>
          <w:highlight w:val="none"/>
        </w:rPr>
      </w:pPr>
      <w:r>
        <w:rPr>
          <w:rFonts w:hint="eastAsia" w:cs="楷体_GB2312" w:asciiTheme="minorEastAsia" w:hAnsiTheme="minorEastAsia" w:eastAsiaTheme="minorEastAsia"/>
          <w:b/>
          <w:bCs/>
          <w:color w:val="auto"/>
          <w:kern w:val="28"/>
          <w:szCs w:val="21"/>
          <w:highlight w:val="none"/>
        </w:rPr>
        <w:t>（一）技术要求</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1.灵活性与可扩展性要求</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系统设计应灵活、易于改造，充分考虑可扩充性，并具备良好的二次开发能力，</w:t>
      </w:r>
      <w:r>
        <w:rPr>
          <w:rFonts w:hint="eastAsia" w:cs="仿宋_GB2312" w:asciiTheme="minorEastAsia" w:hAnsiTheme="minorEastAsia" w:eastAsiaTheme="minorEastAsia"/>
          <w:color w:val="auto"/>
          <w:szCs w:val="21"/>
          <w:highlight w:val="none"/>
        </w:rPr>
        <w:t>监控指标可随业务需要方便定义和调整，告警规则可灵活设置，满足灵活性和扩展性需求。</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软件、硬件平台在系统容量、处理能力和业务应用等方面应具有良好的可扩充、扩展能力，能够方便地进行系统升级和更新，以适应业务量的不断发展。</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系统能通过简单的模块化开发或参数化配置的方式开放API接口，便于其他系统消费；与其他系统的对接如涉及到采购人ESB系统的，应遵循采购人的ESB标准。要求通过模块标准化设计尽量复用公共模块，使日后新增应用也可复用公共模块，减少重复开发工作量。</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2.系统应支持多法人及总-分-支架构，适应采购人战略发展要求。</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3.</w:t>
      </w:r>
      <w:r>
        <w:rPr>
          <w:rFonts w:hint="eastAsia" w:cs="仿宋_GB2312" w:asciiTheme="minorEastAsia" w:hAnsiTheme="minorEastAsia" w:eastAsiaTheme="minorEastAsia"/>
          <w:color w:val="auto"/>
          <w:szCs w:val="21"/>
          <w:highlight w:val="none"/>
          <w:lang w:val="en-US" w:eastAsia="zh-CN"/>
        </w:rPr>
        <w:t>供应商</w:t>
      </w:r>
      <w:r>
        <w:rPr>
          <w:rFonts w:hint="eastAsia" w:cs="仿宋_GB2312" w:asciiTheme="minorEastAsia" w:hAnsiTheme="minorEastAsia" w:eastAsiaTheme="minorEastAsia"/>
          <w:color w:val="auto"/>
          <w:szCs w:val="21"/>
          <w:highlight w:val="none"/>
        </w:rPr>
        <w:t>应提供整体设计方案的系统架构（应用架构、技术架构、数据架构、安全架构）和网络结构拓扑图。整体构架科学先进实用，具有前瞻性和新颖性，能支持今后业务产品的创新和为管理决策提供足够的信息支持。</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4.应用软件开发符合软件工程规范、采购人IT项目管理办法及架构工作手册。配合采购人完成需求编制，并在需求分析基础上，提供完整的系统设计文档。开发完成后，提供安装管理和操作使用手册等文档。</w:t>
      </w:r>
    </w:p>
    <w:p>
      <w:pPr>
        <w:spacing w:line="360" w:lineRule="auto"/>
        <w:ind w:firstLine="422" w:firstLineChars="200"/>
        <w:rPr>
          <w:rFonts w:cs="楷体_GB2312" w:asciiTheme="minorEastAsia" w:hAnsiTheme="minorEastAsia" w:eastAsiaTheme="minorEastAsia"/>
          <w:b/>
          <w:bCs/>
          <w:color w:val="auto"/>
          <w:kern w:val="28"/>
          <w:szCs w:val="21"/>
          <w:highlight w:val="none"/>
        </w:rPr>
      </w:pPr>
      <w:r>
        <w:rPr>
          <w:rFonts w:hint="eastAsia" w:cs="楷体_GB2312" w:asciiTheme="minorEastAsia" w:hAnsiTheme="minorEastAsia" w:eastAsiaTheme="minorEastAsia"/>
          <w:b/>
          <w:bCs/>
          <w:color w:val="auto"/>
          <w:kern w:val="28"/>
          <w:szCs w:val="21"/>
          <w:highlight w:val="none"/>
        </w:rPr>
        <w:t>（二）系统集成要求</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w:t>
      </w:r>
      <w:r>
        <w:rPr>
          <w:rFonts w:hint="eastAsia" w:cs="仿宋_GB2312" w:asciiTheme="minorEastAsia" w:hAnsiTheme="minorEastAsia" w:eastAsiaTheme="minorEastAsia"/>
          <w:color w:val="auto"/>
          <w:szCs w:val="21"/>
          <w:highlight w:val="none"/>
          <w:lang w:val="en-US" w:eastAsia="zh-CN"/>
        </w:rPr>
        <w:t>供应商</w:t>
      </w:r>
      <w:r>
        <w:rPr>
          <w:rFonts w:hint="eastAsia" w:cs="仿宋_GB2312" w:asciiTheme="minorEastAsia" w:hAnsiTheme="minorEastAsia" w:eastAsiaTheme="minorEastAsia"/>
          <w:color w:val="auto"/>
          <w:szCs w:val="21"/>
          <w:highlight w:val="none"/>
        </w:rPr>
        <w:t>应提供整体设计方案的系统架构和网络结构拓扑图，其中技术栈的选定根据公司实施经验、实施案例，结合采购人的要求，满足前瞻性、性能可靠、扩展性高等特性。</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w:t>
      </w:r>
      <w:r>
        <w:rPr>
          <w:rFonts w:hint="eastAsia" w:cs="仿宋_GB2312" w:asciiTheme="minorEastAsia" w:hAnsiTheme="minorEastAsia" w:eastAsiaTheme="minorEastAsia"/>
          <w:color w:val="auto"/>
          <w:szCs w:val="21"/>
          <w:highlight w:val="none"/>
          <w:lang w:val="en-US" w:eastAsia="zh-CN"/>
        </w:rPr>
        <w:t>供应商</w:t>
      </w:r>
      <w:r>
        <w:rPr>
          <w:rFonts w:hint="eastAsia" w:cs="仿宋_GB2312" w:asciiTheme="minorEastAsia" w:hAnsiTheme="minorEastAsia" w:eastAsiaTheme="minorEastAsia"/>
          <w:color w:val="auto"/>
          <w:szCs w:val="21"/>
          <w:highlight w:val="none"/>
        </w:rPr>
        <w:t>应向采购人提交系统实施方案、技术报告、操作手册、联调测试方案和应急预案等，实施完成后，</w:t>
      </w:r>
      <w:r>
        <w:rPr>
          <w:rFonts w:hint="eastAsia" w:cs="仿宋_GB2312" w:asciiTheme="minorEastAsia" w:hAnsiTheme="minorEastAsia" w:eastAsiaTheme="minorEastAsia"/>
          <w:color w:val="auto"/>
          <w:szCs w:val="21"/>
          <w:highlight w:val="none"/>
          <w:lang w:val="en-US" w:eastAsia="zh-CN"/>
        </w:rPr>
        <w:t>供应商</w:t>
      </w:r>
      <w:r>
        <w:rPr>
          <w:rFonts w:hint="eastAsia" w:cs="仿宋_GB2312" w:asciiTheme="minorEastAsia" w:hAnsiTheme="minorEastAsia" w:eastAsiaTheme="minorEastAsia"/>
          <w:color w:val="auto"/>
          <w:szCs w:val="21"/>
          <w:highlight w:val="none"/>
        </w:rPr>
        <w:t>应向采购人提交所有相关文档。</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3.方便快速地实现与采购人各信息系统的接口开发。</w:t>
      </w:r>
    </w:p>
    <w:p>
      <w:pPr>
        <w:spacing w:line="360" w:lineRule="auto"/>
        <w:ind w:firstLine="422" w:firstLineChars="200"/>
        <w:rPr>
          <w:rFonts w:cs="楷体_GB2312" w:asciiTheme="minorEastAsia" w:hAnsiTheme="minorEastAsia" w:eastAsiaTheme="minorEastAsia"/>
          <w:b/>
          <w:bCs/>
          <w:color w:val="auto"/>
          <w:kern w:val="28"/>
          <w:szCs w:val="21"/>
          <w:highlight w:val="none"/>
        </w:rPr>
      </w:pPr>
      <w:r>
        <w:rPr>
          <w:rFonts w:hint="eastAsia" w:cs="楷体_GB2312" w:asciiTheme="minorEastAsia" w:hAnsiTheme="minorEastAsia" w:eastAsiaTheme="minorEastAsia"/>
          <w:b/>
          <w:bCs/>
          <w:color w:val="auto"/>
          <w:kern w:val="28"/>
          <w:szCs w:val="21"/>
          <w:highlight w:val="none"/>
        </w:rPr>
        <w:t>（三）开发要求</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1.业务需求、开发、测试的地点为采购人指定的地点，</w:t>
      </w:r>
      <w:r>
        <w:rPr>
          <w:rFonts w:hint="eastAsia" w:cs="仿宋_GB2312" w:asciiTheme="minorEastAsia" w:hAnsiTheme="minorEastAsia" w:eastAsiaTheme="minorEastAsia"/>
          <w:color w:val="auto"/>
          <w:szCs w:val="21"/>
          <w:highlight w:val="none"/>
          <w:lang w:eastAsia="zh-CN"/>
        </w:rPr>
        <w:t>供应商</w:t>
      </w:r>
      <w:r>
        <w:rPr>
          <w:rFonts w:hint="eastAsia" w:cs="仿宋_GB2312" w:asciiTheme="minorEastAsia" w:hAnsiTheme="minorEastAsia" w:eastAsiaTheme="minorEastAsia"/>
          <w:color w:val="auto"/>
          <w:szCs w:val="21"/>
          <w:highlight w:val="none"/>
        </w:rPr>
        <w:t>参与项目人员要在该地点开展工作。</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w:t>
      </w:r>
      <w:r>
        <w:rPr>
          <w:rFonts w:hint="eastAsia" w:cs="仿宋_GB2312" w:asciiTheme="minorEastAsia" w:hAnsiTheme="minorEastAsia" w:eastAsiaTheme="minorEastAsia"/>
          <w:color w:val="auto"/>
          <w:szCs w:val="21"/>
          <w:highlight w:val="none"/>
          <w:lang w:eastAsia="zh-CN"/>
        </w:rPr>
        <w:t>供应商</w:t>
      </w:r>
      <w:r>
        <w:rPr>
          <w:rFonts w:hint="eastAsia" w:cs="仿宋_GB2312" w:asciiTheme="minorEastAsia" w:hAnsiTheme="minorEastAsia" w:eastAsiaTheme="minorEastAsia"/>
          <w:color w:val="auto"/>
          <w:szCs w:val="21"/>
          <w:highlight w:val="none"/>
        </w:rPr>
        <w:t>按照采购人项目实施计划、测试周期及上线时间安排进行项目建设。</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3.系统开发过程中所涉及采购人的客户信息、技术文档和程序源代码等资料，</w:t>
      </w:r>
      <w:r>
        <w:rPr>
          <w:rFonts w:hint="eastAsia" w:cs="仿宋_GB2312" w:asciiTheme="minorEastAsia" w:hAnsiTheme="minorEastAsia" w:eastAsiaTheme="minorEastAsia"/>
          <w:color w:val="auto"/>
          <w:szCs w:val="21"/>
          <w:highlight w:val="none"/>
          <w:lang w:eastAsia="zh-CN"/>
        </w:rPr>
        <w:t>供应商</w:t>
      </w:r>
      <w:r>
        <w:rPr>
          <w:rFonts w:hint="eastAsia" w:cs="仿宋_GB2312" w:asciiTheme="minorEastAsia" w:hAnsiTheme="minorEastAsia" w:eastAsiaTheme="minorEastAsia"/>
          <w:color w:val="auto"/>
          <w:szCs w:val="21"/>
          <w:highlight w:val="none"/>
        </w:rPr>
        <w:t>必须严格保密。</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4.</w:t>
      </w:r>
      <w:r>
        <w:rPr>
          <w:rFonts w:hint="eastAsia" w:cs="仿宋_GB2312" w:asciiTheme="minorEastAsia" w:hAnsiTheme="minorEastAsia" w:eastAsiaTheme="minorEastAsia"/>
          <w:color w:val="auto"/>
          <w:szCs w:val="21"/>
          <w:highlight w:val="none"/>
          <w:lang w:eastAsia="zh-CN"/>
        </w:rPr>
        <w:t>供应商</w:t>
      </w:r>
      <w:r>
        <w:rPr>
          <w:rFonts w:hint="eastAsia" w:cs="仿宋_GB2312" w:asciiTheme="minorEastAsia" w:hAnsiTheme="minorEastAsia" w:eastAsiaTheme="minorEastAsia"/>
          <w:color w:val="auto"/>
          <w:szCs w:val="21"/>
          <w:highlight w:val="none"/>
        </w:rPr>
        <w:t>负责建立应急回退方案，并在实施发生问题时为采购人进行回退。</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5.本次</w:t>
      </w:r>
      <w:r>
        <w:rPr>
          <w:rFonts w:hint="eastAsia" w:cs="仿宋_GB2312" w:asciiTheme="minorEastAsia" w:hAnsiTheme="minorEastAsia" w:eastAsiaTheme="minorEastAsia"/>
          <w:color w:val="auto"/>
          <w:szCs w:val="21"/>
          <w:highlight w:val="none"/>
          <w:lang w:val="en-US" w:eastAsia="zh-CN"/>
        </w:rPr>
        <w:t>项目</w:t>
      </w:r>
      <w:r>
        <w:rPr>
          <w:rFonts w:hint="eastAsia" w:cs="仿宋_GB2312" w:asciiTheme="minorEastAsia" w:hAnsiTheme="minorEastAsia" w:eastAsiaTheme="minorEastAsia"/>
          <w:color w:val="auto"/>
          <w:szCs w:val="21"/>
          <w:highlight w:val="none"/>
        </w:rPr>
        <w:t>所有软件需要在采购人指定地点进行调试。</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6.</w:t>
      </w:r>
      <w:r>
        <w:rPr>
          <w:rFonts w:hint="eastAsia" w:cs="仿宋_GB2312" w:asciiTheme="minorEastAsia" w:hAnsiTheme="minorEastAsia" w:eastAsiaTheme="minorEastAsia"/>
          <w:color w:val="auto"/>
          <w:szCs w:val="21"/>
          <w:highlight w:val="none"/>
          <w:lang w:eastAsia="zh-CN"/>
        </w:rPr>
        <w:t>供应商</w:t>
      </w:r>
      <w:r>
        <w:rPr>
          <w:rFonts w:hint="eastAsia" w:cs="仿宋_GB2312" w:asciiTheme="minorEastAsia" w:hAnsiTheme="minorEastAsia" w:eastAsiaTheme="minorEastAsia"/>
          <w:color w:val="auto"/>
          <w:szCs w:val="21"/>
          <w:highlight w:val="none"/>
        </w:rPr>
        <w:t>应提供完整的测试案例并完成所有测试工作，包含有：单元测试、集成测试、性能测试以及验收测试。应用测试需要保证所有的开发功能点满足采购人需求，保证系统能够稳定运行。在系统测试完成后，提供测试案例以及测试报告。</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7.系统软件产品与功能模块要求：提供明确的软件产品版本，阐述采用该版本的详细原因和优缺点；列出该产品的所有模块及详细功能描述，并根据采购人所列的功能需求列出软件产品的具体模块；在采购人所列的功能中，若存在软件产品无标准模块对应的功能，</w:t>
      </w:r>
      <w:r>
        <w:rPr>
          <w:rFonts w:hint="eastAsia" w:cs="仿宋_GB2312" w:asciiTheme="minorEastAsia" w:hAnsiTheme="minorEastAsia" w:eastAsiaTheme="minorEastAsia"/>
          <w:color w:val="auto"/>
          <w:szCs w:val="21"/>
          <w:highlight w:val="none"/>
          <w:lang w:eastAsia="zh-CN"/>
        </w:rPr>
        <w:t>供应商</w:t>
      </w:r>
      <w:r>
        <w:rPr>
          <w:rFonts w:hint="eastAsia" w:cs="仿宋_GB2312" w:asciiTheme="minorEastAsia" w:hAnsiTheme="minorEastAsia" w:eastAsiaTheme="minorEastAsia"/>
          <w:color w:val="auto"/>
          <w:szCs w:val="21"/>
          <w:highlight w:val="none"/>
        </w:rPr>
        <w:t>必须阐述详细具体的解决方案、维护完善工作、升级工作等内容；如</w:t>
      </w:r>
      <w:r>
        <w:rPr>
          <w:rFonts w:hint="eastAsia" w:cs="仿宋_GB2312" w:asciiTheme="minorEastAsia" w:hAnsiTheme="minorEastAsia" w:eastAsiaTheme="minorEastAsia"/>
          <w:color w:val="auto"/>
          <w:szCs w:val="21"/>
          <w:highlight w:val="none"/>
          <w:lang w:eastAsia="zh-CN"/>
        </w:rPr>
        <w:t>供应商</w:t>
      </w:r>
      <w:r>
        <w:rPr>
          <w:rFonts w:hint="eastAsia" w:cs="仿宋_GB2312" w:asciiTheme="minorEastAsia" w:hAnsiTheme="minorEastAsia" w:eastAsiaTheme="minorEastAsia"/>
          <w:color w:val="auto"/>
          <w:szCs w:val="21"/>
          <w:highlight w:val="none"/>
        </w:rPr>
        <w:t>在现有的实施案例中有类似的业务需求，可以详细阐述并提供相应的《需求功能说明书》和《详细设计说明书》。</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8.系统开发符合软件工程规范、采购人IT项目管理办法及架构工作手册。配合采购人完成业务需求编制，并在需求分析基础上，提供完整的系统设计文档。开发完成后，提供安装部署和操作使用手册等文档。</w:t>
      </w:r>
    </w:p>
    <w:p>
      <w:pPr>
        <w:spacing w:line="360" w:lineRule="auto"/>
        <w:ind w:firstLine="422" w:firstLineChars="200"/>
        <w:rPr>
          <w:rFonts w:cs="楷体_GB2312" w:asciiTheme="minorEastAsia" w:hAnsiTheme="minorEastAsia" w:eastAsiaTheme="minorEastAsia"/>
          <w:b/>
          <w:bCs/>
          <w:color w:val="auto"/>
          <w:kern w:val="28"/>
          <w:szCs w:val="21"/>
          <w:highlight w:val="none"/>
        </w:rPr>
      </w:pPr>
      <w:r>
        <w:rPr>
          <w:rFonts w:hint="eastAsia" w:cs="楷体_GB2312" w:asciiTheme="minorEastAsia" w:hAnsiTheme="minorEastAsia" w:eastAsiaTheme="minorEastAsia"/>
          <w:b/>
          <w:bCs/>
          <w:color w:val="auto"/>
          <w:kern w:val="28"/>
          <w:szCs w:val="21"/>
          <w:highlight w:val="none"/>
        </w:rPr>
        <w:t>（四）知识产权与授权</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1.本项目下</w:t>
      </w:r>
      <w:r>
        <w:rPr>
          <w:rFonts w:hint="eastAsia" w:cs="仿宋_GB2312" w:asciiTheme="minorEastAsia" w:hAnsiTheme="minorEastAsia" w:eastAsiaTheme="minorEastAsia"/>
          <w:color w:val="auto"/>
          <w:szCs w:val="21"/>
          <w:highlight w:val="none"/>
          <w:lang w:eastAsia="zh-CN"/>
        </w:rPr>
        <w:t>供应商</w:t>
      </w:r>
      <w:r>
        <w:rPr>
          <w:rFonts w:hint="eastAsia" w:cs="仿宋_GB2312" w:asciiTheme="minorEastAsia" w:hAnsiTheme="minorEastAsia" w:eastAsiaTheme="minorEastAsia"/>
          <w:color w:val="auto"/>
          <w:szCs w:val="21"/>
          <w:highlight w:val="none"/>
        </w:rPr>
        <w:t>交付给采购人的所有软件、文档、程序源代码等由采购人全权保管和自主使用，</w:t>
      </w:r>
      <w:r>
        <w:rPr>
          <w:rFonts w:hint="eastAsia" w:cs="仿宋_GB2312" w:asciiTheme="minorEastAsia" w:hAnsiTheme="minorEastAsia" w:eastAsiaTheme="minorEastAsia"/>
          <w:color w:val="auto"/>
          <w:szCs w:val="21"/>
          <w:highlight w:val="none"/>
          <w:lang w:eastAsia="zh-CN"/>
        </w:rPr>
        <w:t>供应商</w:t>
      </w:r>
      <w:r>
        <w:rPr>
          <w:rFonts w:hint="eastAsia" w:cs="仿宋_GB2312" w:asciiTheme="minorEastAsia" w:hAnsiTheme="minorEastAsia" w:eastAsiaTheme="minorEastAsia"/>
          <w:color w:val="auto"/>
          <w:szCs w:val="21"/>
          <w:highlight w:val="none"/>
        </w:rPr>
        <w:t>不得设置任何附加条件。</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2.本项目下根据采购人需求所有客户化及服务工作成果（包括但不限于发明、发现及相关技术资料、文档、程序源代码、可执行程序等）的知识产权归采购人所有。</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3.</w:t>
      </w:r>
      <w:r>
        <w:rPr>
          <w:rFonts w:hint="eastAsia" w:cs="仿宋_GB2312" w:asciiTheme="minorEastAsia" w:hAnsiTheme="minorEastAsia" w:eastAsiaTheme="minorEastAsia"/>
          <w:color w:val="auto"/>
          <w:szCs w:val="21"/>
          <w:highlight w:val="none"/>
          <w:lang w:eastAsia="zh-CN"/>
        </w:rPr>
        <w:t>供应商</w:t>
      </w:r>
      <w:r>
        <w:rPr>
          <w:rFonts w:hint="eastAsia" w:cs="仿宋_GB2312" w:asciiTheme="minorEastAsia" w:hAnsiTheme="minorEastAsia" w:eastAsiaTheme="minorEastAsia"/>
          <w:color w:val="auto"/>
          <w:szCs w:val="21"/>
          <w:highlight w:val="none"/>
        </w:rPr>
        <w:t>提供的软件、程序、源代码及任何内容、资料等均具有自有知识产权，不会侵犯任何第三方的权利。</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4.完全授权性要求</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系统及平台在安装部署和使用过程中完全授权给采购人以及与采购人存在关联关系的其他银行机构，生产、开发及测试环境均不得存在任何限制安装部署和使用的条件，包括但不限于设置使用授权（licenses）的形式从而限制使用时间、限制部署的机器、限制使用的CPU数量、限制agent数量、限制纳管节点数、限制纳管系统数、限制纳管设备数、限制系统并发数、限制用户数量以及限制信息系统接入的数量等影响系统重新部署或横向扩展的条件。系统及平台在云环境下部署时当发生自动迁移时无需重新授权、注册或激活。</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系统交付时应提供产品层、平台层、应用场景及客户化内容等全部源代码。</w:t>
      </w:r>
    </w:p>
    <w:p>
      <w:pPr>
        <w:spacing w:line="360" w:lineRule="auto"/>
        <w:ind w:firstLine="422" w:firstLineChars="200"/>
        <w:rPr>
          <w:rFonts w:cs="楷体_GB2312" w:asciiTheme="minorEastAsia" w:hAnsiTheme="minorEastAsia" w:eastAsiaTheme="minorEastAsia"/>
          <w:b/>
          <w:bCs/>
          <w:color w:val="auto"/>
          <w:kern w:val="28"/>
          <w:szCs w:val="21"/>
          <w:highlight w:val="none"/>
        </w:rPr>
      </w:pPr>
      <w:r>
        <w:rPr>
          <w:rFonts w:hint="eastAsia" w:cs="楷体_GB2312" w:asciiTheme="minorEastAsia" w:hAnsiTheme="minorEastAsia" w:eastAsiaTheme="minorEastAsia"/>
          <w:b/>
          <w:bCs/>
          <w:color w:val="auto"/>
          <w:kern w:val="28"/>
          <w:szCs w:val="21"/>
          <w:highlight w:val="none"/>
        </w:rPr>
        <w:t>（五）平台及工具要求</w:t>
      </w:r>
    </w:p>
    <w:p>
      <w:pPr>
        <w:spacing w:line="580" w:lineRule="exact"/>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1.系统自身运行平台及开发平台必须具有良好的开放性，并符合</w:t>
      </w:r>
      <w:r>
        <w:rPr>
          <w:rFonts w:hint="eastAsia" w:cs="仿宋_GB2312" w:asciiTheme="minorEastAsia" w:hAnsiTheme="minorEastAsia" w:eastAsiaTheme="minorEastAsia"/>
          <w:color w:val="auto"/>
          <w:szCs w:val="21"/>
          <w:highlight w:val="none"/>
          <w:lang w:val="en-US" w:eastAsia="zh-CN"/>
        </w:rPr>
        <w:t>采购</w:t>
      </w:r>
      <w:r>
        <w:rPr>
          <w:rFonts w:hint="eastAsia" w:cs="仿宋_GB2312" w:asciiTheme="minorEastAsia" w:hAnsiTheme="minorEastAsia" w:eastAsiaTheme="minorEastAsia"/>
          <w:color w:val="auto"/>
          <w:szCs w:val="21"/>
          <w:highlight w:val="none"/>
        </w:rPr>
        <w:t>方的信创及国密要求。系统应提供一体化、向导式、模板式的集成开发环境（IDE），并提供便捷易用的支持开发、编译、调试、版本控制、部署发布等全流程开发功能的二次开发平台。</w:t>
      </w:r>
    </w:p>
    <w:p>
      <w:pPr>
        <w:spacing w:line="580" w:lineRule="exact"/>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●系统运行环境：</w:t>
      </w:r>
    </w:p>
    <w:tbl>
      <w:tblPr>
        <w:tblStyle w:val="11"/>
        <w:tblW w:w="88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4178"/>
        <w:gridCol w:w="3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0" w:type="dxa"/>
            <w:shd w:val="clear" w:color="auto" w:fill="C0C0C0"/>
            <w:vAlign w:val="center"/>
          </w:tcPr>
          <w:p>
            <w:pPr>
              <w:spacing w:line="300" w:lineRule="exact"/>
              <w:jc w:val="center"/>
              <w:rPr>
                <w:rFonts w:cs="仿宋_GB2312" w:asciiTheme="minorEastAsia" w:hAnsiTheme="minorEastAsia" w:eastAsiaTheme="minorEastAsia"/>
                <w:b/>
                <w:bCs/>
                <w:color w:val="auto"/>
                <w:szCs w:val="21"/>
                <w:highlight w:val="none"/>
              </w:rPr>
            </w:pPr>
            <w:r>
              <w:rPr>
                <w:rFonts w:hint="eastAsia" w:cs="仿宋_GB2312" w:asciiTheme="minorEastAsia" w:hAnsiTheme="minorEastAsia" w:eastAsiaTheme="minorEastAsia"/>
                <w:b/>
                <w:bCs/>
                <w:color w:val="auto"/>
                <w:szCs w:val="21"/>
                <w:highlight w:val="none"/>
              </w:rPr>
              <w:t>软件名称</w:t>
            </w:r>
          </w:p>
        </w:tc>
        <w:tc>
          <w:tcPr>
            <w:tcW w:w="4178" w:type="dxa"/>
            <w:shd w:val="clear" w:color="auto" w:fill="C0C0C0"/>
            <w:vAlign w:val="center"/>
          </w:tcPr>
          <w:p>
            <w:pPr>
              <w:spacing w:line="300" w:lineRule="exact"/>
              <w:jc w:val="center"/>
              <w:rPr>
                <w:rFonts w:cs="仿宋_GB2312" w:asciiTheme="minorEastAsia" w:hAnsiTheme="minorEastAsia" w:eastAsiaTheme="minorEastAsia"/>
                <w:b/>
                <w:bCs/>
                <w:color w:val="auto"/>
                <w:szCs w:val="21"/>
                <w:highlight w:val="none"/>
              </w:rPr>
            </w:pPr>
            <w:r>
              <w:rPr>
                <w:rFonts w:hint="eastAsia" w:cs="仿宋_GB2312" w:asciiTheme="minorEastAsia" w:hAnsiTheme="minorEastAsia" w:eastAsiaTheme="minorEastAsia"/>
                <w:b/>
                <w:bCs/>
                <w:color w:val="auto"/>
                <w:szCs w:val="21"/>
                <w:highlight w:val="none"/>
              </w:rPr>
              <w:t>产品型号/版本</w:t>
            </w:r>
          </w:p>
        </w:tc>
        <w:tc>
          <w:tcPr>
            <w:tcW w:w="3141" w:type="dxa"/>
            <w:shd w:val="clear" w:color="auto" w:fill="C0C0C0"/>
            <w:vAlign w:val="center"/>
          </w:tcPr>
          <w:p>
            <w:pPr>
              <w:spacing w:line="300" w:lineRule="exact"/>
              <w:jc w:val="center"/>
              <w:rPr>
                <w:rFonts w:cs="仿宋_GB2312" w:asciiTheme="minorEastAsia" w:hAnsiTheme="minorEastAsia" w:eastAsiaTheme="minorEastAsia"/>
                <w:b/>
                <w:bCs/>
                <w:color w:val="auto"/>
                <w:szCs w:val="21"/>
                <w:highlight w:val="none"/>
              </w:rPr>
            </w:pPr>
            <w:r>
              <w:rPr>
                <w:rFonts w:hint="eastAsia" w:cs="仿宋_GB2312" w:asciiTheme="minorEastAsia" w:hAnsiTheme="minorEastAsia" w:eastAsiaTheme="minorEastAsia"/>
                <w:b/>
                <w:bCs/>
                <w:color w:val="auto"/>
                <w:szCs w:val="21"/>
                <w:highlight w:val="none"/>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0" w:type="dxa"/>
            <w:vAlign w:val="center"/>
          </w:tcPr>
          <w:p>
            <w:pPr>
              <w:spacing w:line="300" w:lineRule="exact"/>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操作系统</w:t>
            </w:r>
          </w:p>
        </w:tc>
        <w:tc>
          <w:tcPr>
            <w:tcW w:w="4178" w:type="dxa"/>
          </w:tcPr>
          <w:p>
            <w:pPr>
              <w:spacing w:line="300" w:lineRule="exact"/>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Linux（CentOS、UOS、麒麟等）</w:t>
            </w:r>
          </w:p>
        </w:tc>
        <w:tc>
          <w:tcPr>
            <w:tcW w:w="3141" w:type="dxa"/>
          </w:tcPr>
          <w:p>
            <w:pPr>
              <w:spacing w:line="300" w:lineRule="exact"/>
              <w:ind w:firstLine="420" w:firstLineChars="200"/>
              <w:rPr>
                <w:rFonts w:cs="仿宋_GB2312"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0" w:type="dxa"/>
            <w:vAlign w:val="center"/>
          </w:tcPr>
          <w:p>
            <w:pPr>
              <w:spacing w:line="300" w:lineRule="exact"/>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应用中间件</w:t>
            </w:r>
          </w:p>
        </w:tc>
        <w:tc>
          <w:tcPr>
            <w:tcW w:w="4178" w:type="dxa"/>
          </w:tcPr>
          <w:p>
            <w:pPr>
              <w:spacing w:line="300" w:lineRule="exact"/>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BES Application Server、TongWeb、Nginx 1.18、tomcat 9.0以上等</w:t>
            </w:r>
          </w:p>
        </w:tc>
        <w:tc>
          <w:tcPr>
            <w:tcW w:w="3141" w:type="dxa"/>
          </w:tcPr>
          <w:p>
            <w:pPr>
              <w:spacing w:line="300" w:lineRule="exact"/>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若使用其它中间件，需在项目实施阶段经采购人同意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0" w:type="dxa"/>
            <w:vAlign w:val="center"/>
          </w:tcPr>
          <w:p>
            <w:pPr>
              <w:spacing w:line="300" w:lineRule="exact"/>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数据库</w:t>
            </w:r>
          </w:p>
        </w:tc>
        <w:tc>
          <w:tcPr>
            <w:tcW w:w="4178" w:type="dxa"/>
          </w:tcPr>
          <w:p>
            <w:pPr>
              <w:spacing w:line="300" w:lineRule="exact"/>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TDSQL、MySQL5.7 等</w:t>
            </w:r>
          </w:p>
        </w:tc>
        <w:tc>
          <w:tcPr>
            <w:tcW w:w="3141" w:type="dxa"/>
          </w:tcPr>
          <w:p>
            <w:pPr>
              <w:spacing w:line="300" w:lineRule="exact"/>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若使用ES、图数据库、时序数据库等其它数据库，需在项目实施阶段经采购人同意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0" w:type="dxa"/>
            <w:vAlign w:val="center"/>
          </w:tcPr>
          <w:p>
            <w:pPr>
              <w:spacing w:line="300" w:lineRule="exact"/>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服务器</w:t>
            </w:r>
          </w:p>
        </w:tc>
        <w:tc>
          <w:tcPr>
            <w:tcW w:w="4178" w:type="dxa"/>
          </w:tcPr>
          <w:p>
            <w:pPr>
              <w:spacing w:line="300" w:lineRule="exact"/>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腾讯云虚拟机、腾讯云容器、信创PC服务器等</w:t>
            </w:r>
          </w:p>
        </w:tc>
        <w:tc>
          <w:tcPr>
            <w:tcW w:w="3141" w:type="dxa"/>
          </w:tcPr>
          <w:p>
            <w:pPr>
              <w:spacing w:line="300" w:lineRule="exact"/>
              <w:ind w:firstLine="420" w:firstLineChars="200"/>
              <w:rPr>
                <w:rFonts w:cs="仿宋_GB2312"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0" w:type="dxa"/>
            <w:vAlign w:val="center"/>
          </w:tcPr>
          <w:p>
            <w:pPr>
              <w:spacing w:line="300" w:lineRule="exact"/>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缓存</w:t>
            </w:r>
          </w:p>
        </w:tc>
        <w:tc>
          <w:tcPr>
            <w:tcW w:w="4178" w:type="dxa"/>
          </w:tcPr>
          <w:p>
            <w:pPr>
              <w:spacing w:line="300" w:lineRule="exact"/>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腾讯云Redis、Redis6.10以上等</w:t>
            </w:r>
          </w:p>
        </w:tc>
        <w:tc>
          <w:tcPr>
            <w:tcW w:w="3141" w:type="dxa"/>
          </w:tcPr>
          <w:p>
            <w:pPr>
              <w:spacing w:line="300" w:lineRule="exact"/>
              <w:ind w:firstLine="420" w:firstLineChars="200"/>
              <w:rPr>
                <w:rFonts w:cs="仿宋_GB2312"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0" w:type="dxa"/>
            <w:vAlign w:val="center"/>
          </w:tcPr>
          <w:p>
            <w:pPr>
              <w:spacing w:line="300" w:lineRule="exact"/>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消息中间件</w:t>
            </w:r>
          </w:p>
        </w:tc>
        <w:tc>
          <w:tcPr>
            <w:tcW w:w="4178" w:type="dxa"/>
          </w:tcPr>
          <w:p>
            <w:pPr>
              <w:spacing w:line="300" w:lineRule="exact"/>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腾讯云TDMQ、腾讯云CKafka、RabbitMQ、Kafka</w:t>
            </w:r>
          </w:p>
        </w:tc>
        <w:tc>
          <w:tcPr>
            <w:tcW w:w="3141" w:type="dxa"/>
          </w:tcPr>
          <w:p>
            <w:pPr>
              <w:spacing w:line="300" w:lineRule="exact"/>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若使用其它中间件，需在项目实施阶段经采购人同意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0" w:type="dxa"/>
            <w:vAlign w:val="center"/>
          </w:tcPr>
          <w:p>
            <w:pPr>
              <w:spacing w:line="300" w:lineRule="exact"/>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负载均衡</w:t>
            </w:r>
          </w:p>
        </w:tc>
        <w:tc>
          <w:tcPr>
            <w:tcW w:w="4178" w:type="dxa"/>
          </w:tcPr>
          <w:p>
            <w:pPr>
              <w:spacing w:line="300" w:lineRule="exact"/>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腾讯云负载均衡、硬件负载均衡、软件负载均衡等</w:t>
            </w:r>
          </w:p>
        </w:tc>
        <w:tc>
          <w:tcPr>
            <w:tcW w:w="3141" w:type="dxa"/>
          </w:tcPr>
          <w:p>
            <w:pPr>
              <w:spacing w:line="300" w:lineRule="exact"/>
              <w:ind w:firstLine="420" w:firstLineChars="200"/>
              <w:rPr>
                <w:rFonts w:cs="仿宋_GB2312" w:asciiTheme="minorEastAsia" w:hAnsiTheme="minorEastAsia" w:eastAsiaTheme="minorEastAsia"/>
                <w:color w:val="auto"/>
                <w:szCs w:val="21"/>
                <w:highlight w:val="none"/>
              </w:rPr>
            </w:pPr>
          </w:p>
        </w:tc>
      </w:tr>
    </w:tbl>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w:t>
      </w:r>
      <w:r>
        <w:rPr>
          <w:rFonts w:hint="eastAsia" w:cs="仿宋_GB2312" w:asciiTheme="minorEastAsia" w:hAnsiTheme="minorEastAsia" w:eastAsiaTheme="minorEastAsia"/>
          <w:color w:val="auto"/>
          <w:szCs w:val="21"/>
          <w:highlight w:val="none"/>
          <w:lang w:eastAsia="zh-CN"/>
        </w:rPr>
        <w:t>供应商</w:t>
      </w:r>
      <w:r>
        <w:rPr>
          <w:rFonts w:hint="eastAsia" w:cs="仿宋_GB2312" w:asciiTheme="minorEastAsia" w:hAnsiTheme="minorEastAsia" w:eastAsiaTheme="minorEastAsia"/>
          <w:color w:val="auto"/>
          <w:szCs w:val="21"/>
          <w:highlight w:val="none"/>
        </w:rPr>
        <w:t>需要提供系统编译和发布的自动化运行脚本，满足采购人自动化编译和自动化发布的要求。</w:t>
      </w:r>
    </w:p>
    <w:p>
      <w:pPr>
        <w:spacing w:line="360" w:lineRule="auto"/>
        <w:ind w:firstLine="422" w:firstLineChars="200"/>
        <w:rPr>
          <w:rFonts w:cs="楷体_GB2312" w:asciiTheme="minorEastAsia" w:hAnsiTheme="minorEastAsia" w:eastAsiaTheme="minorEastAsia"/>
          <w:b/>
          <w:bCs/>
          <w:color w:val="auto"/>
          <w:kern w:val="28"/>
          <w:szCs w:val="21"/>
          <w:highlight w:val="none"/>
        </w:rPr>
      </w:pPr>
      <w:r>
        <w:rPr>
          <w:rFonts w:hint="eastAsia" w:cs="楷体_GB2312" w:asciiTheme="minorEastAsia" w:hAnsiTheme="minorEastAsia" w:eastAsiaTheme="minorEastAsia"/>
          <w:b/>
          <w:bCs/>
          <w:color w:val="auto"/>
          <w:kern w:val="28"/>
          <w:szCs w:val="21"/>
          <w:highlight w:val="none"/>
        </w:rPr>
        <w:t>（六）性能要求</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1.提供横向和纵向的扩充能力，且充分发挥机器性能，保证能够满足东莞农村商业银行3－5年业务发展的要求。</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2.用系统应满足业务连续性要求，具备持续运行能力，满足7×24小时服务的技术实现方案。</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（1）系统恢复时间（RTO）目标：故障发生后，系统从停顿到必须恢复的时间要求为2小时内。</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（2）系统恢复点（RPO）目标：服务恢复后，系统和数据必须恢复到的时间点要求为15分钟内。</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3.用户环境的页面响应时间快速，最大响应时间小于3秒，平均响应时间小于1秒。</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4.根据采购人的业务量，每笔典型功能场景的响应时间最高不超过3秒，复杂业务场景最高不超过5秒。</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5.系统支持最大在线用户数200个，最大并发用户数150个，典型交易TPS(每秒钟request/事务数量)不低于120。最大并发数下，交易成功率不低于99.9%。</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6.综合安全保障措施，系统应从网络、数据、系统、灾难备份等方面提供充分的安全保障。</w:t>
      </w:r>
    </w:p>
    <w:p>
      <w:pPr>
        <w:spacing w:line="360" w:lineRule="auto"/>
        <w:ind w:firstLine="422" w:firstLineChars="200"/>
        <w:rPr>
          <w:rFonts w:cs="楷体_GB2312" w:asciiTheme="minorEastAsia" w:hAnsiTheme="minorEastAsia" w:eastAsiaTheme="minorEastAsia"/>
          <w:b/>
          <w:bCs/>
          <w:color w:val="auto"/>
          <w:kern w:val="28"/>
          <w:szCs w:val="21"/>
          <w:highlight w:val="none"/>
        </w:rPr>
      </w:pPr>
      <w:r>
        <w:rPr>
          <w:rFonts w:hint="eastAsia" w:cs="楷体_GB2312" w:asciiTheme="minorEastAsia" w:hAnsiTheme="minorEastAsia" w:eastAsiaTheme="minorEastAsia"/>
          <w:b/>
          <w:bCs/>
          <w:color w:val="auto"/>
          <w:kern w:val="28"/>
          <w:szCs w:val="21"/>
          <w:highlight w:val="none"/>
        </w:rPr>
        <w:t>（七）售后服务</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自系统终验之日起，</w:t>
      </w:r>
      <w:r>
        <w:rPr>
          <w:rFonts w:hint="eastAsia" w:cs="仿宋_GB2312" w:asciiTheme="minorEastAsia" w:hAnsiTheme="minorEastAsia" w:eastAsiaTheme="minorEastAsia"/>
          <w:color w:val="auto"/>
          <w:szCs w:val="21"/>
          <w:highlight w:val="none"/>
          <w:lang w:eastAsia="zh-CN"/>
        </w:rPr>
        <w:t>供应商</w:t>
      </w:r>
      <w:r>
        <w:rPr>
          <w:rFonts w:hint="eastAsia" w:cs="仿宋_GB2312" w:asciiTheme="minorEastAsia" w:hAnsiTheme="minorEastAsia" w:eastAsiaTheme="minorEastAsia"/>
          <w:color w:val="auto"/>
          <w:szCs w:val="21"/>
          <w:highlight w:val="none"/>
        </w:rPr>
        <w:t>向采购人提供不少于3年的系统免费售后服务，服务内容至少包括如下：</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1.巡检服务。提供每年不少于2次现场巡检服务，具体巡检时间由采购人确定。</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升级服务。根据甲方要求为软件免费升级和补丁更新，保证用户能够及时获得相关服务和技术文档的更新。技术文档包括操作手册、产品说明、系统架构、应急处理、规章制度等。针对产品缺陷进行快速修复，如产品出现重大缺陷时，须主动告知采购人升级或应对措施。</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3.咨询服务。采购人可随时向</w:t>
      </w:r>
      <w:r>
        <w:rPr>
          <w:rFonts w:hint="eastAsia" w:cs="仿宋_GB2312" w:asciiTheme="minorEastAsia" w:hAnsiTheme="minorEastAsia" w:eastAsiaTheme="minorEastAsia"/>
          <w:color w:val="auto"/>
          <w:szCs w:val="21"/>
          <w:highlight w:val="none"/>
          <w:lang w:eastAsia="zh-CN"/>
        </w:rPr>
        <w:t>供应商</w:t>
      </w:r>
      <w:r>
        <w:rPr>
          <w:rFonts w:hint="eastAsia" w:cs="仿宋_GB2312" w:asciiTheme="minorEastAsia" w:hAnsiTheme="minorEastAsia" w:eastAsiaTheme="minorEastAsia"/>
          <w:color w:val="auto"/>
          <w:szCs w:val="21"/>
          <w:highlight w:val="none"/>
        </w:rPr>
        <w:t>进行技术咨询。</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4.应急服务。提供每周7×24小时专人应急服务电话。</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5.现场支援服务。按需提供技术人员现场支援的服务。</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6.系统迁移服务。服务期内，如采购人有系统迁移需求，</w:t>
      </w:r>
      <w:r>
        <w:rPr>
          <w:rFonts w:hint="eastAsia" w:cs="仿宋_GB2312" w:asciiTheme="minorEastAsia" w:hAnsiTheme="minorEastAsia" w:eastAsiaTheme="minorEastAsia"/>
          <w:color w:val="auto"/>
          <w:szCs w:val="21"/>
          <w:highlight w:val="none"/>
          <w:lang w:eastAsia="zh-CN"/>
        </w:rPr>
        <w:t>供应商</w:t>
      </w:r>
      <w:r>
        <w:rPr>
          <w:rFonts w:hint="eastAsia" w:cs="仿宋_GB2312" w:asciiTheme="minorEastAsia" w:hAnsiTheme="minorEastAsia" w:eastAsiaTheme="minorEastAsia"/>
          <w:color w:val="auto"/>
          <w:szCs w:val="21"/>
          <w:highlight w:val="none"/>
        </w:rPr>
        <w:t>有义务根据采购人要求提供优选迁移建议服务，如有必要</w:t>
      </w:r>
      <w:r>
        <w:rPr>
          <w:rFonts w:hint="eastAsia" w:cs="仿宋_GB2312" w:asciiTheme="minorEastAsia" w:hAnsiTheme="minorEastAsia" w:eastAsiaTheme="minorEastAsia"/>
          <w:color w:val="auto"/>
          <w:szCs w:val="21"/>
          <w:highlight w:val="none"/>
          <w:lang w:eastAsia="zh-CN"/>
        </w:rPr>
        <w:t>供应商</w:t>
      </w:r>
      <w:r>
        <w:rPr>
          <w:rFonts w:hint="eastAsia" w:cs="仿宋_GB2312" w:asciiTheme="minorEastAsia" w:hAnsiTheme="minorEastAsia" w:eastAsiaTheme="minorEastAsia"/>
          <w:color w:val="auto"/>
          <w:szCs w:val="21"/>
          <w:highlight w:val="none"/>
        </w:rPr>
        <w:t>到达采购人现场提供协助。</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7.保修、维护期结束后，</w:t>
      </w:r>
      <w:r>
        <w:rPr>
          <w:rFonts w:hint="eastAsia" w:cs="仿宋_GB2312" w:asciiTheme="minorEastAsia" w:hAnsiTheme="minorEastAsia" w:eastAsiaTheme="minorEastAsia"/>
          <w:color w:val="auto"/>
          <w:szCs w:val="21"/>
          <w:highlight w:val="none"/>
          <w:lang w:eastAsia="zh-CN"/>
        </w:rPr>
        <w:t>供应商</w:t>
      </w:r>
      <w:r>
        <w:rPr>
          <w:rFonts w:hint="eastAsia" w:cs="仿宋_GB2312" w:asciiTheme="minorEastAsia" w:hAnsiTheme="minorEastAsia" w:eastAsiaTheme="minorEastAsia"/>
          <w:color w:val="auto"/>
          <w:szCs w:val="21"/>
          <w:highlight w:val="none"/>
        </w:rPr>
        <w:t>有义务在本系统的维护、运行管理和开发方面继续给予用户技术协作和咨询。</w:t>
      </w:r>
    </w:p>
    <w:p>
      <w:pPr>
        <w:spacing w:line="360" w:lineRule="auto"/>
        <w:rPr>
          <w:rFonts w:ascii="宋体" w:hAnsi="宋体"/>
          <w:b/>
          <w:bCs/>
          <w:color w:val="auto"/>
          <w:szCs w:val="21"/>
          <w:highlight w:val="none"/>
        </w:rPr>
      </w:pPr>
      <w:r>
        <w:rPr>
          <w:rFonts w:hint="eastAsia" w:ascii="宋体" w:hAnsi="宋体"/>
          <w:b/>
          <w:bCs/>
          <w:color w:val="auto"/>
          <w:szCs w:val="21"/>
          <w:highlight w:val="none"/>
        </w:rPr>
        <w:t>五、供应商（产品制造商）要求</w:t>
      </w:r>
    </w:p>
    <w:p>
      <w:pPr>
        <w:tabs>
          <w:tab w:val="left" w:pos="0"/>
        </w:tabs>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（一）本项目需求供应商必须具备独立法人资格。</w:t>
      </w:r>
    </w:p>
    <w:p>
      <w:pPr>
        <w:tabs>
          <w:tab w:val="left" w:pos="0"/>
        </w:tabs>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（二）</w:t>
      </w:r>
      <w:r>
        <w:rPr>
          <w:rFonts w:hint="eastAsia" w:cs="仿宋_GB2312" w:asciiTheme="minorEastAsia" w:hAnsiTheme="minorEastAsia" w:eastAsiaTheme="minorEastAsia"/>
          <w:color w:val="auto"/>
          <w:szCs w:val="21"/>
          <w:highlight w:val="none"/>
        </w:rPr>
        <w:t>供应商必须具备本项目下拟交付产品的自有知识产权</w:t>
      </w:r>
      <w:r>
        <w:rPr>
          <w:rFonts w:hint="eastAsia" w:cs="仿宋_GB2312" w:asciiTheme="minorEastAsia" w:hAnsiTheme="minorEastAsia" w:eastAsiaTheme="minorEastAsia"/>
          <w:color w:val="auto"/>
          <w:szCs w:val="21"/>
          <w:highlight w:val="none"/>
        </w:rPr>
        <w:t>。</w:t>
      </w:r>
    </w:p>
    <w:p>
      <w:pPr>
        <w:tabs>
          <w:tab w:val="left" w:pos="0"/>
        </w:tabs>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（三）供应商提供的产品</w:t>
      </w:r>
      <w:r>
        <w:rPr>
          <w:rFonts w:hint="eastAsia" w:cs="仿宋_GB2312" w:asciiTheme="minorEastAsia" w:hAnsiTheme="minorEastAsia" w:eastAsiaTheme="minorEastAsia"/>
          <w:color w:val="auto"/>
          <w:szCs w:val="21"/>
          <w:highlight w:val="none"/>
        </w:rPr>
        <w:t>应具有1个以上银行业IT基础监控平台建设案例</w:t>
      </w:r>
      <w:r>
        <w:rPr>
          <w:rFonts w:hint="eastAsia" w:cs="仿宋_GB2312" w:asciiTheme="minorEastAsia" w:hAnsiTheme="minorEastAsia" w:eastAsiaTheme="minorEastAsia"/>
          <w:color w:val="auto"/>
          <w:szCs w:val="21"/>
          <w:highlight w:val="none"/>
        </w:rPr>
        <w:t>，在反馈《</w:t>
      </w:r>
      <w:r>
        <w:rPr>
          <w:rFonts w:hint="eastAsia" w:cs="仿宋_GB2312" w:asciiTheme="minorEastAsia" w:hAnsiTheme="minorEastAsia" w:eastAsiaTheme="minorEastAsia"/>
          <w:b/>
          <w:bCs/>
          <w:color w:val="auto"/>
          <w:szCs w:val="21"/>
          <w:highlight w:val="none"/>
        </w:rPr>
        <w:t>市场调研记录表</w:t>
      </w:r>
      <w:r>
        <w:rPr>
          <w:rFonts w:hint="eastAsia" w:cs="仿宋_GB2312" w:asciiTheme="minorEastAsia" w:hAnsiTheme="minorEastAsia" w:eastAsiaTheme="minorEastAsia"/>
          <w:color w:val="auto"/>
          <w:szCs w:val="21"/>
          <w:highlight w:val="none"/>
        </w:rPr>
        <w:t>》时应提供相关合同复印件。</w:t>
      </w:r>
    </w:p>
    <w:p>
      <w:pPr>
        <w:tabs>
          <w:tab w:val="left" w:pos="0"/>
        </w:tabs>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（四）</w:t>
      </w:r>
      <w:r>
        <w:rPr>
          <w:rFonts w:hint="eastAsia" w:cs="仿宋_GB2312" w:asciiTheme="minorEastAsia" w:hAnsiTheme="minorEastAsia" w:eastAsiaTheme="minorEastAsia"/>
          <w:color w:val="auto"/>
          <w:szCs w:val="21"/>
          <w:highlight w:val="none"/>
        </w:rPr>
        <w:t>供应商的产品应支持信创环境下的部署。</w:t>
      </w:r>
    </w:p>
    <w:p>
      <w:pPr>
        <w:pStyle w:val="2"/>
        <w:rPr>
          <w:color w:val="auto"/>
          <w:highlight w:val="none"/>
        </w:rPr>
      </w:pPr>
    </w:p>
    <w:p>
      <w:pPr>
        <w:spacing w:line="360" w:lineRule="auto"/>
        <w:rPr>
          <w:rFonts w:ascii="宋体" w:hAnsi="宋体"/>
          <w:color w:val="auto"/>
          <w:szCs w:val="21"/>
          <w:highlight w:val="none"/>
        </w:rPr>
      </w:pPr>
    </w:p>
    <w:sectPr>
      <w:footerReference r:id="rId3" w:type="default"/>
      <w:pgSz w:w="11906" w:h="16838"/>
      <w:pgMar w:top="1134" w:right="1077" w:bottom="1134"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801739"/>
    </w:sdtPr>
    <w:sdtContent>
      <w:p>
        <w:pPr>
          <w:pStyle w:val="7"/>
          <w:jc w:val="center"/>
        </w:pPr>
        <w:r>
          <w:fldChar w:fldCharType="begin"/>
        </w:r>
        <w:r>
          <w:instrText xml:space="preserve">PAGE   \* MERGEFORMAT</w:instrText>
        </w:r>
        <w:r>
          <w:fldChar w:fldCharType="separate"/>
        </w:r>
        <w:r>
          <w:rPr>
            <w:lang w:val="zh-CN"/>
          </w:rPr>
          <w:t>4</w:t>
        </w:r>
        <w: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zZmI1MmVmMGUzZmU4YzE4MDE4M2JlNzA5YjY2OTkifQ=="/>
  </w:docVars>
  <w:rsids>
    <w:rsidRoot w:val="009F2FB4"/>
    <w:rsid w:val="00041D24"/>
    <w:rsid w:val="000D3882"/>
    <w:rsid w:val="000E6541"/>
    <w:rsid w:val="000F4946"/>
    <w:rsid w:val="00115306"/>
    <w:rsid w:val="00115BC4"/>
    <w:rsid w:val="001C2DAC"/>
    <w:rsid w:val="001D4644"/>
    <w:rsid w:val="001E7CB5"/>
    <w:rsid w:val="0026628E"/>
    <w:rsid w:val="002B7344"/>
    <w:rsid w:val="002C13F5"/>
    <w:rsid w:val="002E69AE"/>
    <w:rsid w:val="003000DE"/>
    <w:rsid w:val="003161EC"/>
    <w:rsid w:val="003425BD"/>
    <w:rsid w:val="00372F3B"/>
    <w:rsid w:val="003900F9"/>
    <w:rsid w:val="004B3E2C"/>
    <w:rsid w:val="0052378B"/>
    <w:rsid w:val="0058010C"/>
    <w:rsid w:val="005E0F22"/>
    <w:rsid w:val="00657D6E"/>
    <w:rsid w:val="0067085A"/>
    <w:rsid w:val="0067708D"/>
    <w:rsid w:val="006778FD"/>
    <w:rsid w:val="00683ADB"/>
    <w:rsid w:val="00684671"/>
    <w:rsid w:val="00697DF5"/>
    <w:rsid w:val="006B282D"/>
    <w:rsid w:val="006E028B"/>
    <w:rsid w:val="00755FE0"/>
    <w:rsid w:val="007C1E65"/>
    <w:rsid w:val="007C4B35"/>
    <w:rsid w:val="007D1572"/>
    <w:rsid w:val="00812356"/>
    <w:rsid w:val="00833E0B"/>
    <w:rsid w:val="00834783"/>
    <w:rsid w:val="00876154"/>
    <w:rsid w:val="008E739F"/>
    <w:rsid w:val="008F5664"/>
    <w:rsid w:val="00906BCA"/>
    <w:rsid w:val="00932867"/>
    <w:rsid w:val="00932D28"/>
    <w:rsid w:val="00955B58"/>
    <w:rsid w:val="00967333"/>
    <w:rsid w:val="00972BC5"/>
    <w:rsid w:val="009C139A"/>
    <w:rsid w:val="009C6873"/>
    <w:rsid w:val="009F2FB4"/>
    <w:rsid w:val="009F5DB2"/>
    <w:rsid w:val="00AF0288"/>
    <w:rsid w:val="00AF5E80"/>
    <w:rsid w:val="00AF7968"/>
    <w:rsid w:val="00B71931"/>
    <w:rsid w:val="00BB0D09"/>
    <w:rsid w:val="00BB432E"/>
    <w:rsid w:val="00BD79AF"/>
    <w:rsid w:val="00C046DA"/>
    <w:rsid w:val="00C15B9E"/>
    <w:rsid w:val="00C479E2"/>
    <w:rsid w:val="00C707AE"/>
    <w:rsid w:val="00CD62A6"/>
    <w:rsid w:val="00CE7C21"/>
    <w:rsid w:val="00D809E5"/>
    <w:rsid w:val="00DA0CD7"/>
    <w:rsid w:val="00DD11BD"/>
    <w:rsid w:val="00E751AB"/>
    <w:rsid w:val="00F92A95"/>
    <w:rsid w:val="00FC204D"/>
    <w:rsid w:val="00FC3DC7"/>
    <w:rsid w:val="00FE62F0"/>
    <w:rsid w:val="00FE706B"/>
    <w:rsid w:val="09BB78D2"/>
    <w:rsid w:val="0C6C3520"/>
    <w:rsid w:val="170B3BD9"/>
    <w:rsid w:val="18957FCF"/>
    <w:rsid w:val="2CB25E33"/>
    <w:rsid w:val="3C8B2E31"/>
    <w:rsid w:val="41A31322"/>
    <w:rsid w:val="452B449A"/>
    <w:rsid w:val="496574B5"/>
    <w:rsid w:val="4A044590"/>
    <w:rsid w:val="4B94220C"/>
    <w:rsid w:val="52097D65"/>
    <w:rsid w:val="57817D1D"/>
    <w:rsid w:val="60D91A09"/>
    <w:rsid w:val="64FF6CA9"/>
    <w:rsid w:val="6B0B1692"/>
    <w:rsid w:val="6B764C86"/>
    <w:rsid w:val="6DF24FB8"/>
    <w:rsid w:val="6EC766B7"/>
    <w:rsid w:val="6F0F798D"/>
    <w:rsid w:val="793754B3"/>
    <w:rsid w:val="7AAE44AA"/>
    <w:rsid w:val="7C582353"/>
    <w:rsid w:val="7CD76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26"/>
    <w:unhideWhenUsed/>
    <w:qFormat/>
    <w:uiPriority w:val="0"/>
    <w:pPr>
      <w:ind w:firstLine="420" w:firstLineChars="200"/>
    </w:pPr>
    <w:rPr>
      <w:rFonts w:ascii="Calibri" w:hAnsi="Calibri"/>
    </w:rPr>
  </w:style>
  <w:style w:type="paragraph" w:styleId="3">
    <w:name w:val="toa heading"/>
    <w:basedOn w:val="1"/>
    <w:next w:val="1"/>
    <w:unhideWhenUsed/>
    <w:qFormat/>
    <w:uiPriority w:val="99"/>
    <w:pPr>
      <w:spacing w:before="120"/>
    </w:pPr>
    <w:rPr>
      <w:rFonts w:asciiTheme="majorHAnsi" w:hAnsiTheme="majorHAnsi" w:cstheme="majorBidi"/>
      <w:sz w:val="24"/>
    </w:rPr>
  </w:style>
  <w:style w:type="paragraph" w:styleId="4">
    <w:name w:val="annotation text"/>
    <w:basedOn w:val="1"/>
    <w:link w:val="23"/>
    <w:semiHidden/>
    <w:unhideWhenUsed/>
    <w:qFormat/>
    <w:uiPriority w:val="99"/>
    <w:pPr>
      <w:jc w:val="left"/>
    </w:pPr>
  </w:style>
  <w:style w:type="paragraph" w:styleId="5">
    <w:name w:val="Body Text"/>
    <w:basedOn w:val="1"/>
    <w:link w:val="22"/>
    <w:qFormat/>
    <w:uiPriority w:val="0"/>
    <w:pPr>
      <w:spacing w:after="120"/>
    </w:pPr>
  </w:style>
  <w:style w:type="paragraph" w:styleId="6">
    <w:name w:val="Balloon Text"/>
    <w:basedOn w:val="1"/>
    <w:link w:val="25"/>
    <w:semiHidden/>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0">
    <w:name w:val="annotation subject"/>
    <w:basedOn w:val="4"/>
    <w:next w:val="4"/>
    <w:link w:val="24"/>
    <w:semiHidden/>
    <w:unhideWhenUsed/>
    <w:qFormat/>
    <w:uiPriority w:val="99"/>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unhideWhenUsed/>
    <w:qFormat/>
    <w:uiPriority w:val="99"/>
    <w:rPr>
      <w:color w:val="0000FF"/>
      <w:u w:val="single"/>
    </w:rPr>
  </w:style>
  <w:style w:type="character" w:styleId="15">
    <w:name w:val="annotation reference"/>
    <w:unhideWhenUsed/>
    <w:qFormat/>
    <w:uiPriority w:val="99"/>
    <w:rPr>
      <w:rFonts w:cs="Times New Roman"/>
      <w:sz w:val="21"/>
      <w:szCs w:val="21"/>
    </w:rPr>
  </w:style>
  <w:style w:type="paragraph" w:customStyle="1" w:styleId="16">
    <w:name w:val="Table Paragraph"/>
    <w:basedOn w:val="1"/>
    <w:qFormat/>
    <w:uiPriority w:val="1"/>
    <w:pPr>
      <w:autoSpaceDE w:val="0"/>
      <w:autoSpaceDN w:val="0"/>
      <w:adjustRightInd w:val="0"/>
      <w:jc w:val="left"/>
    </w:pPr>
    <w:rPr>
      <w:rFonts w:ascii="宋体" w:cs="宋体"/>
      <w:kern w:val="0"/>
      <w:sz w:val="24"/>
    </w:rPr>
  </w:style>
  <w:style w:type="paragraph" w:customStyle="1" w:styleId="17">
    <w:name w:val="样式4"/>
    <w:basedOn w:val="1"/>
    <w:qFormat/>
    <w:uiPriority w:val="0"/>
    <w:pPr>
      <w:tabs>
        <w:tab w:val="left" w:pos="2328"/>
      </w:tabs>
      <w:ind w:left="2328" w:hanging="708"/>
    </w:pPr>
  </w:style>
  <w:style w:type="character" w:customStyle="1" w:styleId="18">
    <w:name w:val="页眉 字符"/>
    <w:link w:val="8"/>
    <w:qFormat/>
    <w:uiPriority w:val="99"/>
    <w:rPr>
      <w:rFonts w:ascii="Times New Roman" w:hAnsi="Times New Roman" w:eastAsia="宋体" w:cs="Times New Roman"/>
      <w:sz w:val="18"/>
      <w:szCs w:val="18"/>
    </w:rPr>
  </w:style>
  <w:style w:type="character" w:customStyle="1" w:styleId="19">
    <w:name w:val="页脚 字符"/>
    <w:link w:val="7"/>
    <w:qFormat/>
    <w:uiPriority w:val="99"/>
    <w:rPr>
      <w:rFonts w:ascii="Times New Roman" w:hAnsi="Times New Roman" w:eastAsia="宋体" w:cs="Times New Roman"/>
      <w:sz w:val="18"/>
      <w:szCs w:val="18"/>
    </w:rPr>
  </w:style>
  <w:style w:type="character" w:customStyle="1" w:styleId="20">
    <w:name w:val="font11"/>
    <w:qFormat/>
    <w:uiPriority w:val="0"/>
    <w:rPr>
      <w:rFonts w:hint="default" w:ascii="Times New Roman" w:hAnsi="Times New Roman" w:cs="Times New Roman"/>
      <w:color w:val="000000"/>
      <w:sz w:val="24"/>
      <w:szCs w:val="24"/>
      <w:u w:val="none"/>
    </w:rPr>
  </w:style>
  <w:style w:type="character" w:customStyle="1" w:styleId="21">
    <w:name w:val="font21"/>
    <w:qFormat/>
    <w:uiPriority w:val="0"/>
    <w:rPr>
      <w:rFonts w:ascii="Arial" w:hAnsi="Arial" w:cs="Arial"/>
      <w:color w:val="000000"/>
      <w:sz w:val="21"/>
      <w:szCs w:val="21"/>
      <w:u w:val="none"/>
    </w:rPr>
  </w:style>
  <w:style w:type="character" w:customStyle="1" w:styleId="22">
    <w:name w:val="正文文本 字符"/>
    <w:basedOn w:val="13"/>
    <w:link w:val="5"/>
    <w:qFormat/>
    <w:uiPriority w:val="0"/>
    <w:rPr>
      <w:rFonts w:ascii="Times New Roman" w:hAnsi="Times New Roman" w:eastAsia="宋体"/>
      <w:kern w:val="2"/>
      <w:sz w:val="21"/>
      <w:szCs w:val="24"/>
    </w:rPr>
  </w:style>
  <w:style w:type="character" w:customStyle="1" w:styleId="23">
    <w:name w:val="批注文字 字符"/>
    <w:basedOn w:val="13"/>
    <w:link w:val="4"/>
    <w:semiHidden/>
    <w:qFormat/>
    <w:uiPriority w:val="99"/>
    <w:rPr>
      <w:rFonts w:ascii="Times New Roman" w:hAnsi="Times New Roman" w:eastAsia="宋体"/>
      <w:kern w:val="2"/>
      <w:sz w:val="21"/>
      <w:szCs w:val="24"/>
    </w:rPr>
  </w:style>
  <w:style w:type="character" w:customStyle="1" w:styleId="24">
    <w:name w:val="批注主题 字符"/>
    <w:basedOn w:val="23"/>
    <w:link w:val="10"/>
    <w:semiHidden/>
    <w:qFormat/>
    <w:uiPriority w:val="99"/>
    <w:rPr>
      <w:rFonts w:ascii="Times New Roman" w:hAnsi="Times New Roman" w:eastAsia="宋体"/>
      <w:b/>
      <w:bCs/>
      <w:kern w:val="2"/>
      <w:sz w:val="21"/>
      <w:szCs w:val="24"/>
    </w:rPr>
  </w:style>
  <w:style w:type="character" w:customStyle="1" w:styleId="25">
    <w:name w:val="批注框文本 字符"/>
    <w:basedOn w:val="13"/>
    <w:link w:val="6"/>
    <w:semiHidden/>
    <w:qFormat/>
    <w:uiPriority w:val="99"/>
    <w:rPr>
      <w:rFonts w:ascii="Times New Roman" w:hAnsi="Times New Roman" w:eastAsia="宋体"/>
      <w:kern w:val="2"/>
      <w:sz w:val="18"/>
      <w:szCs w:val="18"/>
    </w:rPr>
  </w:style>
  <w:style w:type="character" w:customStyle="1" w:styleId="26">
    <w:name w:val="正文缩进 字符"/>
    <w:link w:val="2"/>
    <w:qFormat/>
    <w:uiPriority w:val="0"/>
    <w:rPr>
      <w:rFonts w:ascii="Calibri" w:hAnsi="Calibri" w:eastAsia="宋体"/>
      <w:kern w:val="2"/>
      <w:sz w:val="21"/>
      <w:szCs w:val="24"/>
    </w:rPr>
  </w:style>
  <w:style w:type="paragraph" w:customStyle="1" w:styleId="27">
    <w:name w:val="正文cl"/>
    <w:basedOn w:val="1"/>
    <w:qFormat/>
    <w:uiPriority w:val="0"/>
    <w:pPr>
      <w:snapToGrid w:val="0"/>
      <w:spacing w:line="360" w:lineRule="auto"/>
      <w:ind w:firstLine="600" w:firstLineChars="200"/>
    </w:pPr>
    <w:rPr>
      <w:rFonts w:ascii="Tahoma" w:hAnsi="Tahoma" w:eastAsia="仿宋_GB2312" w:cs="宋体"/>
      <w:sz w:val="3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5347</Words>
  <Characters>5720</Characters>
  <Lines>42</Lines>
  <Paragraphs>11</Paragraphs>
  <TotalTime>4</TotalTime>
  <ScaleCrop>false</ScaleCrop>
  <LinksUpToDate>false</LinksUpToDate>
  <CharactersWithSpaces>5730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2023-04-27T09:53:00Z</dcterms:created>
  <dc:creator>User</dc:creator>
  <cp:lastModifiedBy>Administrator</cp:lastModifiedBy>
  <dcterms:modified xsi:type="dcterms:W3CDTF">2023-05-30T02:41:38Z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9E8D80D62FAD4580AC4A61D8D7EBA639_13</vt:lpwstr>
  </property>
</Properties>
</file>